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东台市自然资源和规划局2020年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本报告是根据《中华人民共和国政府信息公开条例》（以下简称《条例》）要求编制而成。全文包括总体情况、主动公开政府信息情况、收到和处理政府信息公开申请情况、政府信息公开行政复议行政诉讼情况，存在的主要问题及改进情况等。报告中所列数据的统计期限为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年1月1日到20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12月31日止。本报告的电子版可在东台市门户网站（http://www.dongtai.gov.cn/）下载。如对本报告有任何疑问，请与东台市自然资源和规划局办公室联系（地址：东台市东台镇金海东路25号，邮编：224200，电话：0515－85214613）。</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黑体_GBK" w:hAnsi="方正黑体_GBK" w:eastAsia="方正黑体_GBK" w:cs="方正黑体_GBK"/>
          <w:sz w:val="34"/>
          <w:szCs w:val="34"/>
          <w:lang w:eastAsia="zh-CN"/>
        </w:rPr>
      </w:pPr>
      <w:r>
        <w:rPr>
          <w:rFonts w:hint="eastAsia" w:ascii="方正黑体_GBK" w:hAnsi="方正黑体_GBK" w:eastAsia="方正黑体_GBK" w:cs="方正黑体_GBK"/>
          <w:sz w:val="34"/>
          <w:szCs w:val="34"/>
          <w:lang w:eastAsia="zh-CN"/>
        </w:rPr>
        <w:t>一、总体情况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2020年度，市自然资源和规划局通过局门户网站主动新公开政务信息82608条，其中行业新闻、工作动态 65条，法律法规及政策文件15条，土地登记结果80448条，建设用地预审83条，建设用地审批 3个批次，征收土地及补偿安置方案相关公告3条，国土资源招拍挂信息公告16条，供地结果公示59条，其他信息1916条。全年受理网上咨询、举报信件30件，按时办结率100%。政务信息的公开，提高了我市自然资源和规划管理工作的透明度，接收了社会公众的监督，促进了依法行政，服务社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二、主动公开政府信息情况</w:t>
      </w:r>
    </w:p>
    <w:tbl>
      <w:tblPr>
        <w:tblStyle w:val="4"/>
        <w:tblW w:w="9678" w:type="dxa"/>
        <w:jc w:val="center"/>
        <w:tblLayout w:type="fixed"/>
        <w:tblCellMar>
          <w:top w:w="0" w:type="dxa"/>
          <w:left w:w="108" w:type="dxa"/>
          <w:bottom w:w="0" w:type="dxa"/>
          <w:right w:w="108" w:type="dxa"/>
        </w:tblCellMar>
      </w:tblPr>
      <w:tblGrid>
        <w:gridCol w:w="3504"/>
        <w:gridCol w:w="2291"/>
        <w:gridCol w:w="1963"/>
        <w:gridCol w:w="1920"/>
      </w:tblGrid>
      <w:tr>
        <w:tblPrEx>
          <w:tblCellMar>
            <w:top w:w="0" w:type="dxa"/>
            <w:left w:w="108" w:type="dxa"/>
            <w:bottom w:w="0" w:type="dxa"/>
            <w:right w:w="108" w:type="dxa"/>
          </w:tblCellMar>
        </w:tblPrEx>
        <w:trPr>
          <w:trHeight w:val="495" w:hRule="atLeast"/>
          <w:jc w:val="center"/>
        </w:trPr>
        <w:tc>
          <w:tcPr>
            <w:tcW w:w="9678"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tabs>
                <w:tab w:val="left" w:pos="1388"/>
                <w:tab w:val="center" w:pos="4022"/>
              </w:tabs>
              <w:overflowPunct w:val="0"/>
              <w:spacing w:line="360" w:lineRule="exact"/>
              <w:jc w:val="center"/>
              <w:rPr>
                <w:sz w:val="28"/>
                <w:szCs w:val="28"/>
              </w:rPr>
            </w:pPr>
            <w:r>
              <w:rPr>
                <w:rFonts w:hint="eastAsia" w:ascii="宋体" w:hAnsi="宋体" w:cs="宋体"/>
                <w:color w:val="000000"/>
                <w:kern w:val="0"/>
                <w:sz w:val="28"/>
                <w:szCs w:val="28"/>
                <w:lang w:bidi="ar"/>
              </w:rPr>
              <w:t>第二十条第（一）项</w:t>
            </w:r>
          </w:p>
        </w:tc>
      </w:tr>
      <w:tr>
        <w:tblPrEx>
          <w:tblCellMar>
            <w:top w:w="0" w:type="dxa"/>
            <w:left w:w="108" w:type="dxa"/>
            <w:bottom w:w="0" w:type="dxa"/>
            <w:right w:w="108" w:type="dxa"/>
          </w:tblCellMar>
        </w:tblPrEx>
        <w:trPr>
          <w:trHeight w:val="7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信息内容</w:t>
            </w:r>
          </w:p>
        </w:tc>
        <w:tc>
          <w:tcPr>
            <w:tcW w:w="2291"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本年新</w:t>
            </w:r>
            <w:r>
              <w:rPr>
                <w:rFonts w:hint="eastAsia" w:ascii="宋体" w:hAnsi="宋体" w:cs="宋体"/>
                <w:color w:val="000000"/>
                <w:kern w:val="0"/>
                <w:sz w:val="28"/>
                <w:szCs w:val="28"/>
                <w:lang w:bidi="ar"/>
              </w:rPr>
              <w:br w:type="textWrapping"/>
            </w:r>
            <w:r>
              <w:rPr>
                <w:rFonts w:hint="eastAsia" w:ascii="宋体" w:hAnsi="宋体" w:cs="宋体"/>
                <w:color w:val="333333"/>
                <w:kern w:val="0"/>
                <w:sz w:val="28"/>
                <w:szCs w:val="28"/>
                <w:lang w:bidi="ar"/>
              </w:rPr>
              <w:t>制作数量</w:t>
            </w:r>
          </w:p>
        </w:tc>
        <w:tc>
          <w:tcPr>
            <w:tcW w:w="1963"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本年新</w:t>
            </w:r>
            <w:r>
              <w:rPr>
                <w:rFonts w:hint="eastAsia" w:ascii="宋体" w:hAnsi="宋体" w:cs="宋体"/>
                <w:color w:val="000000"/>
                <w:kern w:val="0"/>
                <w:sz w:val="28"/>
                <w:szCs w:val="28"/>
                <w:lang w:bidi="ar"/>
              </w:rPr>
              <w:br w:type="textWrapping"/>
            </w:r>
            <w:r>
              <w:rPr>
                <w:rFonts w:hint="eastAsia" w:ascii="宋体" w:hAnsi="宋体" w:cs="宋体"/>
                <w:color w:val="333333"/>
                <w:kern w:val="0"/>
                <w:sz w:val="28"/>
                <w:szCs w:val="28"/>
                <w:lang w:bidi="ar"/>
              </w:rPr>
              <w:t>公开数量</w:t>
            </w: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对外公开总数量</w:t>
            </w:r>
          </w:p>
        </w:tc>
      </w:tr>
      <w:tr>
        <w:tblPrEx>
          <w:tblCellMar>
            <w:top w:w="0" w:type="dxa"/>
            <w:left w:w="108" w:type="dxa"/>
            <w:bottom w:w="0" w:type="dxa"/>
            <w:right w:w="108" w:type="dxa"/>
          </w:tblCellMar>
        </w:tblPrEx>
        <w:trPr>
          <w:trHeight w:val="523"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规章</w:t>
            </w:r>
          </w:p>
        </w:tc>
        <w:tc>
          <w:tcPr>
            <w:tcW w:w="2291"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color w:val="auto"/>
                <w:sz w:val="28"/>
                <w:szCs w:val="28"/>
              </w:rPr>
            </w:pPr>
          </w:p>
        </w:tc>
        <w:tc>
          <w:tcPr>
            <w:tcW w:w="1963"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color w:val="auto"/>
                <w:sz w:val="28"/>
                <w:szCs w:val="28"/>
              </w:rPr>
            </w:pP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color w:val="auto"/>
                <w:sz w:val="28"/>
                <w:szCs w:val="28"/>
              </w:rPr>
            </w:pPr>
          </w:p>
        </w:tc>
      </w:tr>
      <w:tr>
        <w:tblPrEx>
          <w:tblCellMar>
            <w:top w:w="0" w:type="dxa"/>
            <w:left w:w="108" w:type="dxa"/>
            <w:bottom w:w="0" w:type="dxa"/>
            <w:right w:w="108" w:type="dxa"/>
          </w:tblCellMar>
        </w:tblPrEx>
        <w:trPr>
          <w:trHeight w:val="571"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规范性文件</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eastAsiaTheme="minorEastAsia"/>
                <w:color w:val="auto"/>
                <w:sz w:val="28"/>
                <w:szCs w:val="28"/>
                <w:lang w:val="en-US" w:eastAsia="zh-CN"/>
              </w:rPr>
            </w:pPr>
            <w:r>
              <w:rPr>
                <w:rFonts w:hint="eastAsia"/>
                <w:color w:val="auto"/>
                <w:sz w:val="28"/>
                <w:szCs w:val="28"/>
                <w:lang w:val="en-US" w:eastAsia="zh-CN"/>
              </w:rPr>
              <w:t>18</w:t>
            </w:r>
          </w:p>
        </w:tc>
        <w:tc>
          <w:tcPr>
            <w:tcW w:w="1963"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eastAsiaTheme="minorEastAsia"/>
                <w:color w:val="auto"/>
                <w:sz w:val="28"/>
                <w:szCs w:val="28"/>
                <w:lang w:val="en-US" w:eastAsia="zh-CN"/>
              </w:rPr>
            </w:pPr>
            <w:r>
              <w:rPr>
                <w:rFonts w:hint="eastAsia"/>
                <w:color w:val="auto"/>
                <w:sz w:val="28"/>
                <w:szCs w:val="28"/>
                <w:lang w:val="en-US" w:eastAsia="zh-CN"/>
              </w:rPr>
              <w:t>18</w:t>
            </w: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eastAsiaTheme="minorEastAsia"/>
                <w:color w:val="auto"/>
                <w:sz w:val="28"/>
                <w:szCs w:val="28"/>
                <w:lang w:val="en-US" w:eastAsia="zh-CN"/>
              </w:rPr>
            </w:pPr>
            <w:r>
              <w:rPr>
                <w:rFonts w:hint="eastAsia"/>
                <w:color w:val="auto"/>
                <w:sz w:val="28"/>
                <w:szCs w:val="28"/>
                <w:lang w:val="en-US" w:eastAsia="zh-CN"/>
              </w:rPr>
              <w:t>18</w:t>
            </w:r>
          </w:p>
        </w:tc>
      </w:tr>
      <w:tr>
        <w:tblPrEx>
          <w:tblCellMar>
            <w:top w:w="0" w:type="dxa"/>
            <w:left w:w="108" w:type="dxa"/>
            <w:bottom w:w="0" w:type="dxa"/>
            <w:right w:w="108" w:type="dxa"/>
          </w:tblCellMar>
        </w:tblPrEx>
        <w:trPr>
          <w:trHeight w:val="480" w:hRule="atLeast"/>
          <w:jc w:val="center"/>
        </w:trPr>
        <w:tc>
          <w:tcPr>
            <w:tcW w:w="9678"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第二十条第（五）项</w:t>
            </w:r>
          </w:p>
        </w:tc>
      </w:tr>
      <w:tr>
        <w:tblPrEx>
          <w:tblCellMar>
            <w:top w:w="0" w:type="dxa"/>
            <w:left w:w="108" w:type="dxa"/>
            <w:bottom w:w="0" w:type="dxa"/>
            <w:right w:w="108" w:type="dxa"/>
          </w:tblCellMar>
        </w:tblPrEx>
        <w:trPr>
          <w:trHeight w:val="7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信息内容</w:t>
            </w:r>
          </w:p>
        </w:tc>
        <w:tc>
          <w:tcPr>
            <w:tcW w:w="2291"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上一年项目数量</w:t>
            </w:r>
          </w:p>
        </w:tc>
        <w:tc>
          <w:tcPr>
            <w:tcW w:w="1963"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本年增/减</w:t>
            </w: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处理决定数量</w:t>
            </w:r>
          </w:p>
        </w:tc>
      </w:tr>
      <w:tr>
        <w:tblPrEx>
          <w:tblCellMar>
            <w:top w:w="0" w:type="dxa"/>
            <w:left w:w="108" w:type="dxa"/>
            <w:bottom w:w="0" w:type="dxa"/>
            <w:right w:w="108" w:type="dxa"/>
          </w:tblCellMar>
        </w:tblPrEx>
        <w:trPr>
          <w:trHeight w:val="109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行政许可</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7</w:t>
            </w:r>
          </w:p>
        </w:tc>
        <w:tc>
          <w:tcPr>
            <w:tcW w:w="1963"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-5</w:t>
            </w:r>
            <w:bookmarkStart w:id="0" w:name="_GoBack"/>
            <w:bookmarkEnd w:id="0"/>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3548</w:t>
            </w:r>
          </w:p>
        </w:tc>
      </w:tr>
      <w:tr>
        <w:tblPrEx>
          <w:tblCellMar>
            <w:top w:w="0" w:type="dxa"/>
            <w:left w:w="108" w:type="dxa"/>
            <w:bottom w:w="0" w:type="dxa"/>
            <w:right w:w="108" w:type="dxa"/>
          </w:tblCellMar>
        </w:tblPrEx>
        <w:trPr>
          <w:trHeight w:val="55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其他对外管理服务事项</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eastAsia="宋体" w:cs="Times New Roman"/>
                <w:color w:val="auto"/>
                <w:sz w:val="28"/>
                <w:szCs w:val="28"/>
                <w:lang w:val="en-US" w:eastAsia="zh-CN"/>
              </w:rPr>
            </w:pPr>
          </w:p>
        </w:tc>
        <w:tc>
          <w:tcPr>
            <w:tcW w:w="1963"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eastAsia="宋体" w:cs="Times New Roman"/>
                <w:color w:val="auto"/>
                <w:sz w:val="28"/>
                <w:szCs w:val="28"/>
                <w:lang w:val="en-US" w:eastAsia="zh-CN"/>
              </w:rPr>
            </w:pP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p>
        </w:tc>
      </w:tr>
      <w:tr>
        <w:tblPrEx>
          <w:tblCellMar>
            <w:top w:w="0" w:type="dxa"/>
            <w:left w:w="108" w:type="dxa"/>
            <w:bottom w:w="0" w:type="dxa"/>
            <w:right w:w="108" w:type="dxa"/>
          </w:tblCellMar>
        </w:tblPrEx>
        <w:trPr>
          <w:trHeight w:val="406" w:hRule="atLeast"/>
          <w:jc w:val="center"/>
        </w:trPr>
        <w:tc>
          <w:tcPr>
            <w:tcW w:w="9678"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第二十条第（六）项</w:t>
            </w:r>
          </w:p>
        </w:tc>
      </w:tr>
      <w:tr>
        <w:tblPrEx>
          <w:tblCellMar>
            <w:top w:w="0" w:type="dxa"/>
            <w:left w:w="108" w:type="dxa"/>
            <w:bottom w:w="0" w:type="dxa"/>
            <w:right w:w="108" w:type="dxa"/>
          </w:tblCellMar>
        </w:tblPrEx>
        <w:trPr>
          <w:trHeight w:val="7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信息内容</w:t>
            </w:r>
          </w:p>
        </w:tc>
        <w:tc>
          <w:tcPr>
            <w:tcW w:w="2291"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上一年项目数量</w:t>
            </w:r>
          </w:p>
        </w:tc>
        <w:tc>
          <w:tcPr>
            <w:tcW w:w="1963"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本年增/减</w:t>
            </w: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处理决定数量</w:t>
            </w:r>
          </w:p>
        </w:tc>
      </w:tr>
      <w:tr>
        <w:tblPrEx>
          <w:tblCellMar>
            <w:top w:w="0" w:type="dxa"/>
            <w:left w:w="108" w:type="dxa"/>
            <w:bottom w:w="0" w:type="dxa"/>
            <w:right w:w="108" w:type="dxa"/>
          </w:tblCellMar>
        </w:tblPrEx>
        <w:trPr>
          <w:trHeight w:val="567"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行政处罚</w:t>
            </w:r>
          </w:p>
        </w:tc>
        <w:tc>
          <w:tcPr>
            <w:tcW w:w="2291"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37</w:t>
            </w:r>
          </w:p>
        </w:tc>
        <w:tc>
          <w:tcPr>
            <w:tcW w:w="1963" w:type="dxa"/>
            <w:tcBorders>
              <w:top w:val="single" w:color="auto" w:sz="4" w:space="0"/>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-15</w:t>
            </w: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ind w:firstLine="560" w:firstLineChars="200"/>
              <w:jc w:val="both"/>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22</w:t>
            </w:r>
          </w:p>
        </w:tc>
      </w:tr>
      <w:tr>
        <w:tblPrEx>
          <w:tblCellMar>
            <w:top w:w="0" w:type="dxa"/>
            <w:left w:w="108" w:type="dxa"/>
            <w:bottom w:w="0" w:type="dxa"/>
            <w:right w:w="108" w:type="dxa"/>
          </w:tblCellMar>
        </w:tblPrEx>
        <w:trPr>
          <w:trHeight w:val="584"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行政强制</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p>
        </w:tc>
        <w:tc>
          <w:tcPr>
            <w:tcW w:w="1963"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p>
        </w:tc>
        <w:tc>
          <w:tcPr>
            <w:tcW w:w="1920"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eastAsia" w:ascii="Times New Roman" w:hAnsi="Times New Roman" w:cs="Times New Roman"/>
                <w:color w:val="auto"/>
                <w:sz w:val="28"/>
                <w:szCs w:val="28"/>
                <w:lang w:val="en-US" w:eastAsia="zh-CN"/>
              </w:rPr>
            </w:pPr>
          </w:p>
        </w:tc>
      </w:tr>
      <w:tr>
        <w:tblPrEx>
          <w:tblCellMar>
            <w:top w:w="0" w:type="dxa"/>
            <w:left w:w="108" w:type="dxa"/>
            <w:bottom w:w="0" w:type="dxa"/>
            <w:right w:w="108" w:type="dxa"/>
          </w:tblCellMar>
        </w:tblPrEx>
        <w:trPr>
          <w:trHeight w:val="474" w:hRule="atLeast"/>
          <w:jc w:val="center"/>
        </w:trPr>
        <w:tc>
          <w:tcPr>
            <w:tcW w:w="9678"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第二十条第（八）项</w:t>
            </w:r>
          </w:p>
        </w:tc>
      </w:tr>
      <w:tr>
        <w:tblPrEx>
          <w:tblCellMar>
            <w:top w:w="0" w:type="dxa"/>
            <w:left w:w="108" w:type="dxa"/>
            <w:bottom w:w="0" w:type="dxa"/>
            <w:right w:w="108" w:type="dxa"/>
          </w:tblCellMar>
        </w:tblPrEx>
        <w:trPr>
          <w:trHeight w:val="27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信息内容</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上一年项目数量</w:t>
            </w:r>
          </w:p>
        </w:tc>
        <w:tc>
          <w:tcPr>
            <w:tcW w:w="3883" w:type="dxa"/>
            <w:gridSpan w:val="2"/>
            <w:tcBorders>
              <w:top w:val="single" w:color="auto" w:sz="4" w:space="0"/>
              <w:left w:val="nil"/>
              <w:bottom w:val="single" w:color="auto" w:sz="4" w:space="0"/>
              <w:right w:val="single" w:color="000000"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本年增/减</w:t>
            </w:r>
          </w:p>
        </w:tc>
      </w:tr>
      <w:tr>
        <w:tblPrEx>
          <w:tblCellMar>
            <w:top w:w="0" w:type="dxa"/>
            <w:left w:w="108" w:type="dxa"/>
            <w:bottom w:w="0" w:type="dxa"/>
            <w:right w:w="108" w:type="dxa"/>
          </w:tblCellMar>
        </w:tblPrEx>
        <w:trPr>
          <w:trHeight w:val="551"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行政事业性收费</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w:t>
            </w:r>
          </w:p>
        </w:tc>
        <w:tc>
          <w:tcPr>
            <w:tcW w:w="3883" w:type="dxa"/>
            <w:gridSpan w:val="2"/>
            <w:tcBorders>
              <w:top w:val="single" w:color="auto" w:sz="4" w:space="0"/>
              <w:left w:val="nil"/>
              <w:bottom w:val="single" w:color="auto" w:sz="4" w:space="0"/>
              <w:right w:val="single" w:color="000000" w:sz="4" w:space="0"/>
            </w:tcBorders>
            <w:noWrap w:val="0"/>
            <w:vAlign w:val="center"/>
          </w:tcPr>
          <w:p>
            <w:pPr>
              <w:widowControl/>
              <w:overflowPunct w:val="0"/>
              <w:spacing w:line="36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0</w:t>
            </w:r>
          </w:p>
        </w:tc>
      </w:tr>
      <w:tr>
        <w:tblPrEx>
          <w:tblCellMar>
            <w:top w:w="0" w:type="dxa"/>
            <w:left w:w="108" w:type="dxa"/>
            <w:bottom w:w="0" w:type="dxa"/>
            <w:right w:w="108" w:type="dxa"/>
          </w:tblCellMar>
        </w:tblPrEx>
        <w:trPr>
          <w:trHeight w:val="476" w:hRule="atLeast"/>
          <w:jc w:val="center"/>
        </w:trPr>
        <w:tc>
          <w:tcPr>
            <w:tcW w:w="9678"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第二十条第（九）项</w:t>
            </w:r>
          </w:p>
        </w:tc>
      </w:tr>
      <w:tr>
        <w:tblPrEx>
          <w:tblCellMar>
            <w:top w:w="0" w:type="dxa"/>
            <w:left w:w="108" w:type="dxa"/>
            <w:bottom w:w="0" w:type="dxa"/>
            <w:right w:w="108" w:type="dxa"/>
          </w:tblCellMar>
        </w:tblPrEx>
        <w:trPr>
          <w:trHeight w:val="70"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信息内容</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采购项目数量</w:t>
            </w:r>
          </w:p>
        </w:tc>
        <w:tc>
          <w:tcPr>
            <w:tcW w:w="3883" w:type="dxa"/>
            <w:gridSpan w:val="2"/>
            <w:tcBorders>
              <w:top w:val="single" w:color="auto" w:sz="4" w:space="0"/>
              <w:left w:val="nil"/>
              <w:bottom w:val="single" w:color="auto" w:sz="4" w:space="0"/>
              <w:right w:val="single" w:color="000000" w:sz="4" w:space="0"/>
            </w:tcBorders>
            <w:noWrap w:val="0"/>
            <w:vAlign w:val="center"/>
          </w:tcPr>
          <w:p>
            <w:pPr>
              <w:widowControl/>
              <w:overflowPunct w:val="0"/>
              <w:spacing w:line="360" w:lineRule="exact"/>
              <w:jc w:val="center"/>
              <w:rPr>
                <w:sz w:val="28"/>
                <w:szCs w:val="28"/>
              </w:rPr>
            </w:pPr>
            <w:r>
              <w:rPr>
                <w:rFonts w:hint="eastAsia" w:ascii="宋体" w:hAnsi="宋体" w:cs="宋体"/>
                <w:color w:val="000000"/>
                <w:kern w:val="0"/>
                <w:sz w:val="28"/>
                <w:szCs w:val="28"/>
                <w:lang w:bidi="ar"/>
              </w:rPr>
              <w:t>采购总金额</w:t>
            </w:r>
          </w:p>
        </w:tc>
      </w:tr>
      <w:tr>
        <w:tblPrEx>
          <w:tblCellMar>
            <w:top w:w="0" w:type="dxa"/>
            <w:left w:w="108" w:type="dxa"/>
            <w:bottom w:w="0" w:type="dxa"/>
            <w:right w:w="108" w:type="dxa"/>
          </w:tblCellMar>
        </w:tblPrEx>
        <w:trPr>
          <w:trHeight w:val="539" w:hRule="atLeast"/>
          <w:jc w:val="center"/>
        </w:trPr>
        <w:tc>
          <w:tcPr>
            <w:tcW w:w="3504" w:type="dxa"/>
            <w:tcBorders>
              <w:top w:val="nil"/>
              <w:left w:val="single" w:color="auto" w:sz="4" w:space="0"/>
              <w:bottom w:val="single" w:color="auto" w:sz="4" w:space="0"/>
              <w:right w:val="single" w:color="auto" w:sz="4" w:space="0"/>
            </w:tcBorders>
            <w:noWrap w:val="0"/>
            <w:vAlign w:val="center"/>
          </w:tcPr>
          <w:p>
            <w:pPr>
              <w:widowControl/>
              <w:overflowPunct w:val="0"/>
              <w:spacing w:line="360" w:lineRule="exact"/>
              <w:jc w:val="left"/>
              <w:rPr>
                <w:sz w:val="28"/>
                <w:szCs w:val="28"/>
              </w:rPr>
            </w:pPr>
            <w:r>
              <w:rPr>
                <w:rFonts w:hint="eastAsia" w:ascii="宋体" w:hAnsi="宋体" w:cs="宋体"/>
                <w:color w:val="000000"/>
                <w:kern w:val="0"/>
                <w:sz w:val="28"/>
                <w:szCs w:val="28"/>
                <w:lang w:bidi="ar"/>
              </w:rPr>
              <w:t>政府集中采购</w:t>
            </w:r>
          </w:p>
        </w:tc>
        <w:tc>
          <w:tcPr>
            <w:tcW w:w="2291" w:type="dxa"/>
            <w:tcBorders>
              <w:top w:val="nil"/>
              <w:left w:val="nil"/>
              <w:bottom w:val="single" w:color="auto" w:sz="4" w:space="0"/>
              <w:right w:val="single" w:color="auto" w:sz="4" w:space="0"/>
            </w:tcBorders>
            <w:noWrap w:val="0"/>
            <w:vAlign w:val="center"/>
          </w:tcPr>
          <w:p>
            <w:pPr>
              <w:widowControl/>
              <w:overflowPunct w:val="0"/>
              <w:spacing w:line="360" w:lineRule="exact"/>
              <w:jc w:val="center"/>
              <w:rPr>
                <w:rFonts w:hint="default" w:eastAsia="宋体"/>
                <w:color w:val="auto"/>
                <w:sz w:val="28"/>
                <w:szCs w:val="28"/>
                <w:lang w:val="en-US" w:eastAsia="zh-CN"/>
              </w:rPr>
            </w:pPr>
            <w:r>
              <w:rPr>
                <w:rFonts w:hint="eastAsia" w:eastAsia="宋体"/>
                <w:color w:val="auto"/>
                <w:sz w:val="28"/>
                <w:szCs w:val="28"/>
                <w:lang w:val="en-US" w:eastAsia="zh-CN"/>
              </w:rPr>
              <w:t>48个</w:t>
            </w:r>
          </w:p>
        </w:tc>
        <w:tc>
          <w:tcPr>
            <w:tcW w:w="3883" w:type="dxa"/>
            <w:gridSpan w:val="2"/>
            <w:tcBorders>
              <w:top w:val="single" w:color="auto" w:sz="4" w:space="0"/>
              <w:left w:val="nil"/>
              <w:bottom w:val="single" w:color="auto" w:sz="4" w:space="0"/>
              <w:right w:val="single" w:color="000000" w:sz="4" w:space="0"/>
            </w:tcBorders>
            <w:noWrap w:val="0"/>
            <w:vAlign w:val="center"/>
          </w:tcPr>
          <w:p>
            <w:pPr>
              <w:overflowPunct w:val="0"/>
              <w:spacing w:line="360" w:lineRule="exact"/>
              <w:jc w:val="center"/>
              <w:rPr>
                <w:rFonts w:hint="default" w:ascii="宋体" w:hAnsi="宋体" w:cs="宋体" w:eastAsiaTheme="minorEastAsia"/>
                <w:color w:val="auto"/>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三、收到和处理政府信息公开申请情况</w:t>
      </w:r>
    </w:p>
    <w:tbl>
      <w:tblPr>
        <w:tblStyle w:val="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941"/>
        <w:gridCol w:w="626"/>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line="300" w:lineRule="exact"/>
              <w:jc w:val="center"/>
              <w:rPr>
                <w:sz w:val="24"/>
              </w:rPr>
            </w:pPr>
            <w:r>
              <w:rPr>
                <w:rFonts w:hint="eastAsia"/>
                <w:color w:val="333333"/>
                <w:sz w:val="24"/>
                <w:lang w:bidi="ar"/>
              </w:rPr>
              <w:t>（本列数据的勾稽关系为：第一项加第二项之和，等于第三项加第四项之和）</w:t>
            </w:r>
          </w:p>
        </w:tc>
        <w:tc>
          <w:tcPr>
            <w:tcW w:w="5393" w:type="dxa"/>
            <w:gridSpan w:val="7"/>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r>
              <w:rPr>
                <w:rFonts w:hint="eastAsia"/>
                <w:color w:val="333333"/>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626" w:type="dxa"/>
            <w:vMerge w:val="restart"/>
            <w:tcBorders>
              <w:top w:val="nil"/>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自然人</w:t>
            </w:r>
          </w:p>
        </w:tc>
        <w:tc>
          <w:tcPr>
            <w:tcW w:w="4065" w:type="dxa"/>
            <w:gridSpan w:val="5"/>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法人或其他组织</w:t>
            </w:r>
          </w:p>
        </w:tc>
        <w:tc>
          <w:tcPr>
            <w:tcW w:w="702" w:type="dxa"/>
            <w:vMerge w:val="restart"/>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r>
              <w:rPr>
                <w:rFonts w:hint="eastAsia"/>
                <w:color w:val="333333"/>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626" w:type="dxa"/>
            <w:vMerge w:val="continue"/>
            <w:tcBorders>
              <w:top w:val="nil"/>
              <w:left w:val="nil"/>
              <w:bottom w:val="single" w:color="auto" w:sz="4" w:space="0"/>
              <w:right w:val="single" w:color="auto" w:sz="4" w:space="0"/>
            </w:tcBorders>
            <w:noWrap w:val="0"/>
            <w:vAlign w:val="center"/>
          </w:tcPr>
          <w:p>
            <w:pPr>
              <w:overflowPunct w:val="0"/>
              <w:spacing w:line="300" w:lineRule="exact"/>
              <w:ind w:left="-105" w:leftChars="-50" w:right="-105" w:rightChars="-50"/>
              <w:jc w:val="left"/>
              <w:rPr>
                <w:rFonts w:hint="eastAsia" w:ascii="宋体" w:hAnsi="宋体" w:cs="宋体"/>
                <w:color w:val="333333"/>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商业企业</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科研机构</w:t>
            </w: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社会公益组织</w:t>
            </w: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法律服务机构</w:t>
            </w: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ind w:left="-105" w:leftChars="-50" w:right="-105" w:rightChars="-50"/>
              <w:jc w:val="center"/>
              <w:rPr>
                <w:sz w:val="24"/>
              </w:rPr>
            </w:pPr>
            <w:r>
              <w:rPr>
                <w:rFonts w:hint="eastAsia"/>
                <w:color w:val="333333"/>
                <w:sz w:val="24"/>
                <w:lang w:bidi="ar"/>
              </w:rPr>
              <w:t>其他</w:t>
            </w:r>
          </w:p>
        </w:tc>
        <w:tc>
          <w:tcPr>
            <w:tcW w:w="702" w:type="dxa"/>
            <w:vMerge w:val="continue"/>
            <w:tcBorders>
              <w:top w:val="single" w:color="auto" w:sz="4" w:space="0"/>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color w:val="333333"/>
                <w:sz w:val="24"/>
                <w:lang w:bidi="ar"/>
              </w:rPr>
              <w:t>一、本年新收政府信息公开申请数量</w:t>
            </w:r>
          </w:p>
        </w:tc>
        <w:tc>
          <w:tcPr>
            <w:tcW w:w="626" w:type="dxa"/>
            <w:tcBorders>
              <w:top w:val="single" w:color="auto" w:sz="4" w:space="0"/>
              <w:left w:val="nil"/>
              <w:bottom w:val="single" w:color="auto" w:sz="4" w:space="0"/>
              <w:right w:val="single" w:color="auto" w:sz="4" w:space="0"/>
            </w:tcBorders>
            <w:noWrap w:val="0"/>
            <w:vAlign w:val="center"/>
          </w:tcPr>
          <w:p>
            <w:pPr>
              <w:overflowPunct w:val="0"/>
              <w:spacing w:line="360" w:lineRule="exact"/>
              <w:jc w:val="cente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83</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r>
              <w:rPr>
                <w:rFonts w:hint="eastAsia"/>
                <w:sz w:val="24"/>
                <w:lang w:val="en-US" w:eastAsia="zh-CN"/>
              </w:rPr>
              <w:t>1</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color w:val="333333"/>
                <w:sz w:val="24"/>
                <w:lang w:bidi="ar"/>
              </w:rPr>
              <w:t>二、上年结转政府信息公开申请数量</w:t>
            </w:r>
          </w:p>
        </w:tc>
        <w:tc>
          <w:tcPr>
            <w:tcW w:w="626" w:type="dxa"/>
            <w:tcBorders>
              <w:top w:val="single" w:color="auto" w:sz="4" w:space="0"/>
              <w:left w:val="nil"/>
              <w:bottom w:val="single" w:color="auto" w:sz="4" w:space="0"/>
              <w:right w:val="single" w:color="auto" w:sz="4" w:space="0"/>
            </w:tcBorders>
            <w:noWrap w:val="0"/>
            <w:vAlign w:val="center"/>
          </w:tcPr>
          <w:p>
            <w:pPr>
              <w:overflowPunct w:val="0"/>
              <w:spacing w:line="360" w:lineRule="exact"/>
              <w:jc w:val="cente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noWrap w:val="0"/>
            <w:vAlign w:val="center"/>
          </w:tcPr>
          <w:p>
            <w:pPr>
              <w:widowControl/>
              <w:overflowPunct w:val="0"/>
              <w:spacing w:line="300" w:lineRule="exact"/>
              <w:jc w:val="center"/>
              <w:rPr>
                <w:sz w:val="24"/>
              </w:rPr>
            </w:pPr>
            <w:r>
              <w:rPr>
                <w:rFonts w:hint="eastAsia"/>
                <w:color w:val="333333"/>
                <w:sz w:val="24"/>
                <w:lang w:bidi="ar"/>
              </w:rPr>
              <w:t>三、本年度办理结果</w:t>
            </w:r>
          </w:p>
        </w:tc>
        <w:tc>
          <w:tcPr>
            <w:tcW w:w="3796" w:type="dxa"/>
            <w:gridSpan w:val="2"/>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（一）予以公开</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19</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3796" w:type="dxa"/>
            <w:gridSpan w:val="2"/>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（二）部分公开（区分处理的，只计这一情形，不计其他情形）</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21</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restart"/>
            <w:tcBorders>
              <w:top w:val="nil"/>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（三）不予公开</w:t>
            </w: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1.属于国家秘密</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2.其他法律行政法规禁止公开</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3.危及“三安全一稳定”</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4.保护第三方合法权益</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5.属于三类内部事务信息</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6.属于四类过程性信息</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7.属于行政执法案卷</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8.属于行政查询事项</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restart"/>
            <w:tcBorders>
              <w:top w:val="nil"/>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（四）无法提供</w:t>
            </w: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1.本机关不掌握相关政府信息</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宋体"/>
                <w:sz w:val="24"/>
                <w:lang w:val="en-US" w:eastAsia="zh-CN"/>
              </w:rPr>
            </w:pPr>
            <w:r>
              <w:rPr>
                <w:rFonts w:hint="eastAsia" w:eastAsia="宋体"/>
                <w:sz w:val="24"/>
                <w:lang w:val="en-US" w:eastAsia="zh-CN"/>
              </w:rPr>
              <w:t>33</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r>
              <w:rPr>
                <w:rFonts w:hint="eastAsia"/>
                <w:sz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2.没有现成信息需要另行制作</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r>
              <w:rPr>
                <w:rFonts w:hint="eastAsia"/>
                <w:sz w:val="24"/>
                <w:lang w:val="en-US" w:eastAsia="zh-CN"/>
              </w:rPr>
              <w:t>1</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r>
              <w:rPr>
                <w:rFonts w:hint="eastAsia"/>
                <w:sz w:val="24"/>
                <w:lang w:val="en-US" w:eastAsia="zh-CN"/>
              </w:rPr>
              <w:t>1</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3.补正后申请内容仍不明确</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restart"/>
            <w:tcBorders>
              <w:top w:val="nil"/>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（五）不予处理</w:t>
            </w: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1.信访举报投诉类申请</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2.重复申请</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宋体"/>
                <w:sz w:val="24"/>
                <w:lang w:val="en-US" w:eastAsia="zh-CN"/>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3.要求提供公开出版物</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4.无正当理由大量反复申请</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2941"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5.要求行政机关确认或重新出具已获取信息</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3796" w:type="dxa"/>
            <w:gridSpan w:val="2"/>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（六）其他处理</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eastAsiaTheme="minorEastAsia"/>
                <w:sz w:val="24"/>
                <w:lang w:val="en-US" w:eastAsia="zh-CN"/>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overflowPunct w:val="0"/>
              <w:spacing w:line="300" w:lineRule="exact"/>
              <w:jc w:val="left"/>
              <w:rPr>
                <w:rFonts w:hint="eastAsia" w:ascii="宋体" w:hAnsi="宋体" w:cs="宋体"/>
                <w:color w:val="333333"/>
                <w:sz w:val="24"/>
              </w:rPr>
            </w:pPr>
          </w:p>
        </w:tc>
        <w:tc>
          <w:tcPr>
            <w:tcW w:w="3796" w:type="dxa"/>
            <w:gridSpan w:val="2"/>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ascii="楷体" w:hAnsi="楷体" w:eastAsia="楷体" w:cs="楷体"/>
                <w:color w:val="333333"/>
                <w:sz w:val="24"/>
                <w:lang w:bidi="ar"/>
              </w:rPr>
              <w:t>（七）总计</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74</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eastAsia" w:ascii="Times New Roman" w:hAnsi="Times New Roman" w:eastAsiaTheme="minorEastAsia"/>
                <w:sz w:val="24"/>
                <w:lang w:val="en-US" w:eastAsia="zh-CN"/>
              </w:rPr>
            </w:pPr>
            <w:r>
              <w:rPr>
                <w:rFonts w:hint="eastAsia" w:ascii="Times New Roman" w:hAnsi="Times New Roman"/>
                <w:sz w:val="24"/>
                <w:lang w:val="en-US" w:eastAsia="zh-CN"/>
              </w:rPr>
              <w:t>1</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0" w:type="dxa"/>
            <w:gridSpan w:val="3"/>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line="300" w:lineRule="exact"/>
              <w:jc w:val="left"/>
              <w:rPr>
                <w:sz w:val="24"/>
              </w:rPr>
            </w:pPr>
            <w:r>
              <w:rPr>
                <w:rFonts w:hint="eastAsia"/>
                <w:color w:val="333333"/>
                <w:sz w:val="24"/>
                <w:lang w:bidi="ar"/>
              </w:rPr>
              <w:t>四、结转下年度继续办理</w:t>
            </w:r>
          </w:p>
        </w:tc>
        <w:tc>
          <w:tcPr>
            <w:tcW w:w="62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12</w:t>
            </w: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82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99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720"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ascii="Times New Roman" w:hAnsi="Times New Roman"/>
                <w:sz w:val="24"/>
              </w:rPr>
            </w:pPr>
          </w:p>
        </w:tc>
        <w:tc>
          <w:tcPr>
            <w:tcW w:w="702" w:type="dxa"/>
            <w:tcBorders>
              <w:top w:val="single" w:color="auto" w:sz="4" w:space="0"/>
              <w:left w:val="nil"/>
              <w:bottom w:val="single" w:color="auto" w:sz="4" w:space="0"/>
              <w:right w:val="single" w:color="auto" w:sz="4" w:space="0"/>
            </w:tcBorders>
            <w:noWrap w:val="0"/>
            <w:vAlign w:val="center"/>
          </w:tcPr>
          <w:p>
            <w:pPr>
              <w:overflowPunct w:val="0"/>
              <w:spacing w:line="300" w:lineRule="exact"/>
              <w:jc w:val="center"/>
              <w:rPr>
                <w:rFonts w:hint="default" w:ascii="Times New Roman" w:hAnsi="Times New Roman" w:eastAsiaTheme="minorEastAsia"/>
                <w:color w:val="333333"/>
                <w:sz w:val="24"/>
                <w:lang w:val="en-US" w:eastAsia="zh-CN"/>
              </w:rPr>
            </w:pPr>
            <w:r>
              <w:rPr>
                <w:rFonts w:hint="eastAsia" w:ascii="Times New Roman" w:hAnsi="Times New Roman"/>
                <w:sz w:val="24"/>
                <w:lang w:val="en-US" w:eastAsia="zh-CN"/>
              </w:rPr>
              <w:t>12</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四、政府信息公开行政复议、行政诉讼情况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545"/>
        <w:gridCol w:w="663"/>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961" w:type="dxa"/>
            <w:gridSpan w:val="5"/>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afterAutospacing="1" w:line="24" w:lineRule="atLeast"/>
              <w:jc w:val="center"/>
              <w:rPr>
                <w:sz w:val="24"/>
                <w:szCs w:val="24"/>
              </w:rPr>
            </w:pPr>
            <w:r>
              <w:rPr>
                <w:rFonts w:hint="eastAsia"/>
                <w:color w:val="333333"/>
                <w:sz w:val="24"/>
                <w:szCs w:val="24"/>
                <w:lang w:bidi="ar"/>
              </w:rPr>
              <w:t>行政复议</w:t>
            </w:r>
          </w:p>
        </w:tc>
        <w:tc>
          <w:tcPr>
            <w:tcW w:w="6110" w:type="dxa"/>
            <w:gridSpan w:val="10"/>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24"/>
                <w:szCs w:val="24"/>
              </w:rPr>
            </w:pPr>
            <w:r>
              <w:rPr>
                <w:rFonts w:hint="eastAsia"/>
                <w:color w:val="333333"/>
                <w:sz w:val="24"/>
                <w:szCs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结果维持</w:t>
            </w:r>
          </w:p>
        </w:tc>
        <w:tc>
          <w:tcPr>
            <w:tcW w:w="604" w:type="dxa"/>
            <w:vMerge w:val="restart"/>
            <w:tcBorders>
              <w:top w:val="nil"/>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结果纠正</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其他结果</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尚未审结</w:t>
            </w:r>
          </w:p>
        </w:tc>
        <w:tc>
          <w:tcPr>
            <w:tcW w:w="545" w:type="dxa"/>
            <w:vMerge w:val="restart"/>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总计</w:t>
            </w:r>
          </w:p>
        </w:tc>
        <w:tc>
          <w:tcPr>
            <w:tcW w:w="3083" w:type="dxa"/>
            <w:gridSpan w:val="5"/>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未经复议直接起诉</w:t>
            </w:r>
          </w:p>
        </w:tc>
        <w:tc>
          <w:tcPr>
            <w:tcW w:w="3027" w:type="dxa"/>
            <w:gridSpan w:val="5"/>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04" w:type="dxa"/>
            <w:vMerge w:val="continue"/>
            <w:tcBorders>
              <w:top w:val="nil"/>
              <w:left w:val="single" w:color="auto" w:sz="4" w:space="0"/>
              <w:bottom w:val="single" w:color="auto" w:sz="4" w:space="0"/>
              <w:right w:val="single" w:color="auto" w:sz="4" w:space="0"/>
            </w:tcBorders>
            <w:noWrap w:val="0"/>
            <w:vAlign w:val="center"/>
          </w:tcPr>
          <w:p>
            <w:pPr>
              <w:overflowPunct w:val="0"/>
              <w:jc w:val="left"/>
              <w:rPr>
                <w:rFonts w:hint="eastAsia" w:ascii="宋体" w:hAnsi="宋体" w:cs="宋体"/>
                <w:color w:val="333333"/>
                <w:sz w:val="18"/>
                <w:szCs w:val="18"/>
              </w:rPr>
            </w:pPr>
          </w:p>
        </w:tc>
        <w:tc>
          <w:tcPr>
            <w:tcW w:w="604" w:type="dxa"/>
            <w:vMerge w:val="continue"/>
            <w:tcBorders>
              <w:top w:val="nil"/>
              <w:left w:val="nil"/>
              <w:bottom w:val="single" w:color="auto" w:sz="4" w:space="0"/>
              <w:right w:val="single" w:color="auto" w:sz="4" w:space="0"/>
            </w:tcBorders>
            <w:noWrap w:val="0"/>
            <w:vAlign w:val="center"/>
          </w:tcPr>
          <w:p>
            <w:pPr>
              <w:overflowPunct w:val="0"/>
              <w:jc w:val="left"/>
              <w:rPr>
                <w:rFonts w:hint="eastAsia" w:ascii="宋体" w:hAnsi="宋体" w:cs="宋体"/>
                <w:color w:val="333333"/>
                <w:sz w:val="18"/>
                <w:szCs w:val="18"/>
              </w:rPr>
            </w:pPr>
          </w:p>
        </w:tc>
        <w:tc>
          <w:tcPr>
            <w:tcW w:w="604" w:type="dxa"/>
            <w:vMerge w:val="continue"/>
            <w:tcBorders>
              <w:top w:val="single" w:color="auto" w:sz="4" w:space="0"/>
              <w:left w:val="nil"/>
              <w:bottom w:val="single" w:color="auto" w:sz="4" w:space="0"/>
              <w:right w:val="single" w:color="auto" w:sz="4" w:space="0"/>
            </w:tcBorders>
            <w:noWrap w:val="0"/>
            <w:vAlign w:val="center"/>
          </w:tcPr>
          <w:p>
            <w:pPr>
              <w:overflowPunct w:val="0"/>
              <w:jc w:val="left"/>
              <w:rPr>
                <w:rFonts w:hint="eastAsia" w:ascii="宋体" w:hAnsi="宋体" w:cs="宋体"/>
                <w:color w:val="333333"/>
                <w:sz w:val="18"/>
                <w:szCs w:val="18"/>
              </w:rPr>
            </w:pPr>
          </w:p>
        </w:tc>
        <w:tc>
          <w:tcPr>
            <w:tcW w:w="604" w:type="dxa"/>
            <w:vMerge w:val="continue"/>
            <w:tcBorders>
              <w:top w:val="single" w:color="auto" w:sz="4" w:space="0"/>
              <w:left w:val="nil"/>
              <w:bottom w:val="single" w:color="auto" w:sz="4" w:space="0"/>
              <w:right w:val="single" w:color="auto" w:sz="4" w:space="0"/>
            </w:tcBorders>
            <w:noWrap w:val="0"/>
            <w:vAlign w:val="center"/>
          </w:tcPr>
          <w:p>
            <w:pPr>
              <w:overflowPunct w:val="0"/>
              <w:jc w:val="left"/>
              <w:rPr>
                <w:rFonts w:hint="eastAsia" w:ascii="宋体" w:hAnsi="宋体" w:cs="宋体"/>
                <w:color w:val="333333"/>
                <w:sz w:val="18"/>
                <w:szCs w:val="18"/>
              </w:rPr>
            </w:pPr>
          </w:p>
        </w:tc>
        <w:tc>
          <w:tcPr>
            <w:tcW w:w="545" w:type="dxa"/>
            <w:vMerge w:val="continue"/>
            <w:tcBorders>
              <w:top w:val="single" w:color="auto" w:sz="4" w:space="0"/>
              <w:left w:val="nil"/>
              <w:bottom w:val="single" w:color="auto" w:sz="4" w:space="0"/>
              <w:right w:val="single" w:color="auto" w:sz="4" w:space="0"/>
            </w:tcBorders>
            <w:noWrap w:val="0"/>
            <w:vAlign w:val="center"/>
          </w:tcPr>
          <w:p>
            <w:pPr>
              <w:overflowPunct w:val="0"/>
              <w:jc w:val="left"/>
              <w:rPr>
                <w:rFonts w:hint="eastAsia" w:ascii="宋体" w:hAnsi="宋体" w:cs="宋体"/>
                <w:color w:val="333333"/>
                <w:sz w:val="18"/>
                <w:szCs w:val="18"/>
              </w:rPr>
            </w:pPr>
          </w:p>
        </w:tc>
        <w:tc>
          <w:tcPr>
            <w:tcW w:w="663"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其他结果</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尚未审结</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ascii="宋体" w:hAnsi="宋体" w:cs="宋体"/>
                <w:color w:val="000000"/>
                <w:kern w:val="0"/>
                <w:sz w:val="18"/>
                <w:szCs w:val="18"/>
                <w:lang w:bidi="ar"/>
              </w:rPr>
              <w:t>总计</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ascii="宋体" w:hAnsi="宋体" w:cs="宋体"/>
                <w:color w:val="000000"/>
                <w:kern w:val="0"/>
                <w:sz w:val="18"/>
                <w:szCs w:val="18"/>
                <w:lang w:bidi="ar"/>
              </w:rPr>
              <w:t>其他结果</w:t>
            </w:r>
          </w:p>
        </w:tc>
        <w:tc>
          <w:tcPr>
            <w:tcW w:w="606"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color w:val="333333"/>
                <w:sz w:val="18"/>
                <w:szCs w:val="18"/>
                <w:lang w:bidi="ar"/>
              </w:rPr>
              <w:t>尚未审结</w:t>
            </w:r>
          </w:p>
        </w:tc>
        <w:tc>
          <w:tcPr>
            <w:tcW w:w="606" w:type="dxa"/>
            <w:tcBorders>
              <w:top w:val="single" w:color="auto" w:sz="4" w:space="0"/>
              <w:left w:val="nil"/>
              <w:bottom w:val="single" w:color="auto" w:sz="4" w:space="0"/>
              <w:right w:val="single" w:color="auto" w:sz="4" w:space="0"/>
            </w:tcBorders>
            <w:noWrap w:val="0"/>
            <w:vAlign w:val="center"/>
          </w:tcPr>
          <w:p>
            <w:pPr>
              <w:widowControl/>
              <w:overflowPunct w:val="0"/>
              <w:spacing w:afterAutospacing="1" w:line="24" w:lineRule="atLeast"/>
              <w:jc w:val="center"/>
              <w:rPr>
                <w:sz w:val="18"/>
                <w:szCs w:val="18"/>
              </w:rPr>
            </w:pPr>
            <w:r>
              <w:rPr>
                <w:rFonts w:hint="eastAsia" w:ascii="宋体" w:hAnsi="宋体" w:cs="宋体"/>
                <w:color w:val="000000"/>
                <w:kern w:val="0"/>
                <w:sz w:val="18"/>
                <w:szCs w:val="18"/>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604"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4"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4"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54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663"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5"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p>
        </w:tc>
        <w:tc>
          <w:tcPr>
            <w:tcW w:w="606" w:type="dxa"/>
            <w:tcBorders>
              <w:top w:val="single" w:color="auto" w:sz="4" w:space="0"/>
              <w:left w:val="nil"/>
              <w:bottom w:val="single" w:color="auto" w:sz="4" w:space="0"/>
              <w:right w:val="single" w:color="auto" w:sz="4" w:space="0"/>
            </w:tcBorders>
            <w:noWrap w:val="0"/>
            <w:vAlign w:val="center"/>
          </w:tcPr>
          <w:p>
            <w:pPr>
              <w:widowControl/>
              <w:overflowPunct w:val="0"/>
              <w:spacing w:line="300" w:lineRule="exact"/>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方正楷体_GBK" w:hAnsi="方正楷体_GBK" w:eastAsia="方正楷体_GBK" w:cs="方正楷体_GBK"/>
          <w:b/>
          <w:bCs/>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rPr>
      </w:pPr>
      <w:r>
        <w:rPr>
          <w:rFonts w:hint="default" w:ascii="Times New Roman" w:hAnsi="Times New Roman" w:eastAsia="方正仿宋_GBK" w:cs="Times New Roman"/>
          <w:sz w:val="34"/>
          <w:szCs w:val="34"/>
          <w:lang w:eastAsia="zh-CN"/>
        </w:rPr>
        <w:t>由于机关改革、转隶重组，在原国土资源管理政府信息公开的基础上，增加了林业、湿地、海洋、海域滩涂、城市及镇村建设规划等方面的内容。在人手少、工作量大的情况下，</w:t>
      </w:r>
      <w:r>
        <w:rPr>
          <w:rFonts w:hint="default" w:ascii="Times New Roman" w:hAnsi="Times New Roman" w:eastAsia="方正仿宋_GBK" w:cs="Times New Roman"/>
          <w:sz w:val="34"/>
          <w:szCs w:val="34"/>
        </w:rPr>
        <w:t>主要存在以下问题：一是信息公开的内容仍需进一步充实、细化</w:t>
      </w:r>
      <w:r>
        <w:rPr>
          <w:rFonts w:hint="default" w:ascii="Times New Roman" w:hAnsi="Times New Roman" w:eastAsia="方正仿宋_GBK" w:cs="Times New Roman"/>
          <w:sz w:val="34"/>
          <w:szCs w:val="34"/>
          <w:lang w:eastAsia="zh-CN"/>
        </w:rPr>
        <w:t>，局公开办需要进一步强化统筹督办</w:t>
      </w:r>
      <w:r>
        <w:rPr>
          <w:rFonts w:hint="default" w:ascii="Times New Roman" w:hAnsi="Times New Roman" w:eastAsia="方正仿宋_GBK" w:cs="Times New Roman"/>
          <w:sz w:val="34"/>
          <w:szCs w:val="34"/>
        </w:rPr>
        <w:t>；二是各信息公开义务主体</w:t>
      </w:r>
      <w:r>
        <w:rPr>
          <w:rFonts w:hint="default" w:ascii="Times New Roman" w:hAnsi="Times New Roman" w:eastAsia="方正仿宋_GBK" w:cs="Times New Roman"/>
          <w:sz w:val="34"/>
          <w:szCs w:val="34"/>
          <w:lang w:eastAsia="zh-CN"/>
        </w:rPr>
        <w:t>部门承办人员</w:t>
      </w:r>
      <w:r>
        <w:rPr>
          <w:rFonts w:hint="default" w:ascii="Times New Roman" w:hAnsi="Times New Roman" w:eastAsia="方正仿宋_GBK" w:cs="Times New Roman"/>
          <w:sz w:val="34"/>
          <w:szCs w:val="34"/>
        </w:rPr>
        <w:t>的责任心、工作积极性、主动性以及业务素质有待提高；三是</w:t>
      </w:r>
      <w:r>
        <w:rPr>
          <w:rFonts w:hint="default" w:ascii="Times New Roman" w:hAnsi="Times New Roman" w:eastAsia="方正仿宋_GBK" w:cs="Times New Roman"/>
          <w:sz w:val="34"/>
          <w:szCs w:val="34"/>
          <w:lang w:eastAsia="zh-CN"/>
        </w:rPr>
        <w:t>依申请信息公开的内部</w:t>
      </w:r>
      <w:r>
        <w:rPr>
          <w:rFonts w:hint="default" w:ascii="Times New Roman" w:hAnsi="Times New Roman" w:eastAsia="方正仿宋_GBK" w:cs="Times New Roman"/>
          <w:sz w:val="34"/>
          <w:szCs w:val="34"/>
        </w:rPr>
        <w:t>工作机制有待进一步细化落实。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4"/>
          <w:szCs w:val="34"/>
        </w:rPr>
      </w:pPr>
      <w:r>
        <w:rPr>
          <w:rFonts w:hint="default" w:ascii="Times New Roman" w:hAnsi="Times New Roman" w:eastAsia="方正仿宋_GBK" w:cs="Times New Roman"/>
          <w:sz w:val="34"/>
          <w:szCs w:val="34"/>
        </w:rPr>
        <w:t>　　针对上述问题，我局将在以下几个方面加强整改：一</w:t>
      </w:r>
      <w:r>
        <w:rPr>
          <w:rFonts w:hint="default" w:ascii="Times New Roman" w:hAnsi="Times New Roman" w:eastAsia="方正仿宋_GBK" w:cs="Times New Roman"/>
          <w:sz w:val="34"/>
          <w:szCs w:val="34"/>
          <w:lang w:eastAsia="zh-CN"/>
        </w:rPr>
        <w:t>是</w:t>
      </w:r>
      <w:r>
        <w:rPr>
          <w:rFonts w:hint="default" w:ascii="Times New Roman" w:hAnsi="Times New Roman" w:eastAsia="方正仿宋_GBK" w:cs="Times New Roman"/>
          <w:sz w:val="34"/>
          <w:szCs w:val="34"/>
        </w:rPr>
        <w:t>明确标准规范，搞好调查研究。进一步完善各部门信息公开工作的制度建设，认真抓好制度落实</w:t>
      </w:r>
      <w:r>
        <w:rPr>
          <w:rFonts w:hint="default" w:ascii="Times New Roman" w:hAnsi="Times New Roman" w:eastAsia="方正仿宋_GBK" w:cs="Times New Roman"/>
          <w:sz w:val="34"/>
          <w:szCs w:val="34"/>
          <w:lang w:eastAsia="zh-CN"/>
        </w:rPr>
        <w:t>。</w:t>
      </w:r>
      <w:r>
        <w:rPr>
          <w:rFonts w:hint="default" w:ascii="Times New Roman" w:hAnsi="Times New Roman" w:eastAsia="方正仿宋_GBK" w:cs="Times New Roman"/>
          <w:sz w:val="34"/>
          <w:szCs w:val="34"/>
        </w:rPr>
        <w:t>二</w:t>
      </w:r>
      <w:r>
        <w:rPr>
          <w:rFonts w:hint="default" w:ascii="Times New Roman" w:hAnsi="Times New Roman" w:eastAsia="方正仿宋_GBK" w:cs="Times New Roman"/>
          <w:sz w:val="34"/>
          <w:szCs w:val="34"/>
          <w:lang w:eastAsia="zh-CN"/>
        </w:rPr>
        <w:t>是</w:t>
      </w:r>
      <w:r>
        <w:rPr>
          <w:rFonts w:hint="default" w:ascii="Times New Roman" w:hAnsi="Times New Roman" w:eastAsia="方正仿宋_GBK" w:cs="Times New Roman"/>
          <w:sz w:val="34"/>
          <w:szCs w:val="34"/>
        </w:rPr>
        <w:t>加强协同，细化实施方案。进一步强化各信息公开义务主体部门政府信息公开专职管理人员的培训，切实增强各</w:t>
      </w:r>
      <w:r>
        <w:rPr>
          <w:rFonts w:hint="default" w:ascii="Times New Roman" w:hAnsi="Times New Roman" w:eastAsia="方正仿宋_GBK" w:cs="Times New Roman"/>
          <w:sz w:val="34"/>
          <w:szCs w:val="34"/>
          <w:lang w:eastAsia="zh-CN"/>
        </w:rPr>
        <w:t>部门</w:t>
      </w:r>
      <w:r>
        <w:rPr>
          <w:rFonts w:hint="default" w:ascii="Times New Roman" w:hAnsi="Times New Roman" w:eastAsia="方正仿宋_GBK" w:cs="Times New Roman"/>
          <w:sz w:val="34"/>
          <w:szCs w:val="34"/>
        </w:rPr>
        <w:t>专兼职管理人员的责任心、工作积极性和主动性以及业务素质。三</w:t>
      </w:r>
      <w:r>
        <w:rPr>
          <w:rFonts w:hint="default" w:ascii="Times New Roman" w:hAnsi="Times New Roman" w:eastAsia="方正仿宋_GBK" w:cs="Times New Roman"/>
          <w:sz w:val="34"/>
          <w:szCs w:val="34"/>
          <w:lang w:eastAsia="zh-CN"/>
        </w:rPr>
        <w:t>是</w:t>
      </w:r>
      <w:r>
        <w:rPr>
          <w:rFonts w:hint="default" w:ascii="Times New Roman" w:hAnsi="Times New Roman" w:eastAsia="方正仿宋_GBK" w:cs="Times New Roman"/>
          <w:sz w:val="34"/>
          <w:szCs w:val="34"/>
        </w:rPr>
        <w:t>加强领导，明确职责任务，确保政务信息公开各项工作能按照既定的工作制度有效运作。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before="0" w:beforeLines="0" w:after="313" w:afterLines="10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4760" w:firstLineChars="1400"/>
        <w:textAlignment w:val="auto"/>
        <w:rPr>
          <w:rFonts w:hint="eastAsia"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东台市自然资源和规划局</w:t>
      </w:r>
    </w:p>
    <w:p>
      <w:pPr>
        <w:keepNext w:val="0"/>
        <w:keepLines w:val="0"/>
        <w:pageBreakBefore w:val="0"/>
        <w:widowControl w:val="0"/>
        <w:kinsoku/>
        <w:wordWrap/>
        <w:overflowPunct/>
        <w:topLinePunct w:val="0"/>
        <w:autoSpaceDE/>
        <w:autoSpaceDN/>
        <w:bidi w:val="0"/>
        <w:adjustRightInd/>
        <w:snapToGrid/>
        <w:spacing w:line="560" w:lineRule="exact"/>
        <w:ind w:firstLine="5100" w:firstLineChars="150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2020年1月21日</w:t>
      </w:r>
    </w:p>
    <w:sectPr>
      <w:footerReference r:id="rId3" w:type="default"/>
      <w:pgSz w:w="11906" w:h="16838"/>
      <w:pgMar w:top="2154" w:right="1474"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35C75"/>
    <w:rsid w:val="085F2535"/>
    <w:rsid w:val="136819A7"/>
    <w:rsid w:val="1F68130B"/>
    <w:rsid w:val="26092DF8"/>
    <w:rsid w:val="27EE52D6"/>
    <w:rsid w:val="29790157"/>
    <w:rsid w:val="2B3B7032"/>
    <w:rsid w:val="2FAD740C"/>
    <w:rsid w:val="30DA0431"/>
    <w:rsid w:val="35034F1D"/>
    <w:rsid w:val="3A587370"/>
    <w:rsid w:val="3F7B06C4"/>
    <w:rsid w:val="40ED5A28"/>
    <w:rsid w:val="48F0103F"/>
    <w:rsid w:val="4FF96AA1"/>
    <w:rsid w:val="50D93499"/>
    <w:rsid w:val="539E6F19"/>
    <w:rsid w:val="5BA07649"/>
    <w:rsid w:val="5BE00F30"/>
    <w:rsid w:val="5C6B7D6C"/>
    <w:rsid w:val="5EFB6109"/>
    <w:rsid w:val="65D47DF5"/>
    <w:rsid w:val="6EBB1349"/>
    <w:rsid w:val="701315DF"/>
    <w:rsid w:val="724D69DE"/>
    <w:rsid w:val="72854025"/>
    <w:rsid w:val="74F3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2019-07-24T08:24:00Z</dcterms:created>
  <dc:creator>lin</dc:creator>
  <cp:lastModifiedBy>橘彩星光吴彦祖</cp:lastModifiedBy>
  <cp:lastPrinted>2021-01-18T03:20:00Z</cp:lastPrinted>
  <dcterms:modified xsi:type="dcterms:W3CDTF">2021-01-22T01:22:36Z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674910614_cloud</vt:lpwstr>
  </property>
</Properties>
</file>