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600" w:firstLineChars="200"/>
        <w:rPr>
          <w:rFonts w:ascii="Times New Roman" w:hAnsi="Times New Roman" w:eastAsia="华文中宋" w:cs="Times New Roman"/>
          <w:b/>
          <w:color w:val="000000" w:themeColor="text1"/>
          <w:spacing w:val="28"/>
          <w:kern w:val="44"/>
          <w:sz w:val="48"/>
          <w:szCs w:val="48"/>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 </w:t>
      </w:r>
    </w:p>
    <w:p>
      <w:pPr>
        <w:widowControl/>
        <w:spacing w:before="468" w:beforeLines="150" w:after="312" w:afterLines="100" w:line="576" w:lineRule="exact"/>
        <w:jc w:val="center"/>
        <w:rPr>
          <w:rFonts w:ascii="Times New Roman" w:hAnsi="Times New Roman" w:eastAsia="华文中宋" w:cs="Times New Roman"/>
          <w:b/>
          <w:color w:val="000000" w:themeColor="text1"/>
          <w:spacing w:val="28"/>
          <w:kern w:val="44"/>
          <w:sz w:val="48"/>
          <w:szCs w:val="48"/>
          <w:lang w:bidi="ar"/>
          <w14:textFill>
            <w14:solidFill>
              <w14:schemeClr w14:val="tx1"/>
            </w14:solidFill>
          </w14:textFill>
        </w:rPr>
      </w:pPr>
    </w:p>
    <w:p>
      <w:pPr>
        <w:spacing w:line="640" w:lineRule="exact"/>
        <w:jc w:val="center"/>
        <w:rPr>
          <w:rFonts w:ascii="Times New Roman" w:hAnsi="Times New Roman" w:eastAsia="方正小标宋_GBK" w:cs="Times New Roman"/>
          <w:color w:val="000000"/>
          <w:sz w:val="48"/>
          <w:szCs w:val="48"/>
        </w:rPr>
      </w:pPr>
      <w:bookmarkStart w:id="0" w:name="_Toc9991"/>
      <w:bookmarkStart w:id="1" w:name="_Toc23775"/>
      <w:bookmarkStart w:id="2" w:name="_Toc32607"/>
      <w:r>
        <w:rPr>
          <w:rFonts w:ascii="Times New Roman" w:hAnsi="Times New Roman" w:eastAsia="方正小标宋_GBK" w:cs="Times New Roman"/>
          <w:color w:val="000000"/>
          <w:sz w:val="48"/>
          <w:szCs w:val="48"/>
        </w:rPr>
        <w:t>东台市绿色智造五年行动计划</w:t>
      </w:r>
    </w:p>
    <w:p>
      <w:pPr>
        <w:spacing w:line="640" w:lineRule="exact"/>
        <w:jc w:val="center"/>
        <w:rPr>
          <w:rFonts w:ascii="Times New Roman" w:hAnsi="Times New Roman" w:eastAsia="方正小标宋_GBK" w:cs="Times New Roman"/>
          <w:color w:val="000000"/>
          <w:sz w:val="48"/>
          <w:szCs w:val="48"/>
        </w:rPr>
      </w:pPr>
      <w:r>
        <w:rPr>
          <w:rFonts w:ascii="Times New Roman" w:hAnsi="Times New Roman" w:eastAsia="方正小标宋_GBK" w:cs="Times New Roman"/>
          <w:color w:val="000000"/>
          <w:sz w:val="48"/>
          <w:szCs w:val="48"/>
        </w:rPr>
        <w:t>（2021—2025年）</w:t>
      </w:r>
      <w:bookmarkEnd w:id="0"/>
      <w:bookmarkEnd w:id="1"/>
      <w:bookmarkEnd w:id="2"/>
    </w:p>
    <w:p>
      <w:pPr>
        <w:spacing w:before="156" w:beforeLines="50" w:line="590" w:lineRule="exact"/>
        <w:jc w:val="center"/>
        <w:rPr>
          <w:rFonts w:ascii="Times New Roman" w:hAnsi="Times New Roman" w:eastAsia="方正楷体_GBK" w:cs="Times New Roman"/>
          <w:color w:val="000000"/>
          <w:sz w:val="36"/>
          <w:szCs w:val="36"/>
        </w:rPr>
      </w:pPr>
    </w:p>
    <w:p>
      <w:pPr>
        <w:pStyle w:val="15"/>
        <w:spacing w:line="576" w:lineRule="exact"/>
        <w:ind w:firstLine="300"/>
        <w:rPr>
          <w:rFonts w:ascii="Times New Roman" w:cs="Times New Roman"/>
          <w:color w:val="000000" w:themeColor="text1"/>
          <w14:textFill>
            <w14:solidFill>
              <w14:schemeClr w14:val="tx1"/>
            </w14:solidFill>
          </w14:textFill>
        </w:rPr>
      </w:pPr>
    </w:p>
    <w:p>
      <w:pPr>
        <w:pStyle w:val="15"/>
        <w:spacing w:line="576" w:lineRule="exact"/>
        <w:ind w:firstLine="300"/>
        <w:rPr>
          <w:rFonts w:ascii="Times New Roman" w:cs="Times New Roman"/>
          <w:color w:val="000000" w:themeColor="text1"/>
          <w14:textFill>
            <w14:solidFill>
              <w14:schemeClr w14:val="tx1"/>
            </w14:solidFill>
          </w14:textFill>
        </w:rPr>
      </w:pPr>
    </w:p>
    <w:p>
      <w:pPr>
        <w:pStyle w:val="15"/>
        <w:spacing w:line="576" w:lineRule="exact"/>
        <w:ind w:firstLine="300"/>
        <w:rPr>
          <w:rFonts w:ascii="Times New Roman" w:cs="Times New Roman"/>
          <w:color w:val="000000" w:themeColor="text1"/>
          <w14:textFill>
            <w14:solidFill>
              <w14:schemeClr w14:val="tx1"/>
            </w14:solidFill>
          </w14:textFill>
        </w:rPr>
      </w:pPr>
    </w:p>
    <w:p>
      <w:pPr>
        <w:pStyle w:val="15"/>
        <w:spacing w:line="576" w:lineRule="exact"/>
        <w:ind w:firstLine="300"/>
        <w:rPr>
          <w:rFonts w:ascii="Times New Roman" w:cs="Times New Roman"/>
          <w:color w:val="000000" w:themeColor="text1"/>
          <w14:textFill>
            <w14:solidFill>
              <w14:schemeClr w14:val="tx1"/>
            </w14:solidFill>
          </w14:textFill>
        </w:rPr>
      </w:pPr>
    </w:p>
    <w:p>
      <w:pPr>
        <w:pStyle w:val="15"/>
        <w:spacing w:line="576" w:lineRule="exact"/>
        <w:ind w:firstLine="300"/>
        <w:rPr>
          <w:rFonts w:ascii="Times New Roman" w:cs="Times New Roman"/>
          <w:color w:val="000000" w:themeColor="text1"/>
          <w14:textFill>
            <w14:solidFill>
              <w14:schemeClr w14:val="tx1"/>
            </w14:solidFill>
          </w14:textFill>
        </w:rPr>
      </w:pPr>
    </w:p>
    <w:p>
      <w:pPr>
        <w:pStyle w:val="15"/>
        <w:spacing w:line="576" w:lineRule="exact"/>
        <w:ind w:firstLine="300"/>
        <w:rPr>
          <w:rFonts w:ascii="Times New Roman" w:cs="Times New Roman"/>
          <w:color w:val="000000" w:themeColor="text1"/>
          <w14:textFill>
            <w14:solidFill>
              <w14:schemeClr w14:val="tx1"/>
            </w14:solidFill>
          </w14:textFill>
        </w:rPr>
      </w:pPr>
    </w:p>
    <w:p>
      <w:pPr>
        <w:pStyle w:val="15"/>
        <w:spacing w:line="576" w:lineRule="exact"/>
        <w:ind w:firstLine="30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 xml:space="preserve"> </w:t>
      </w:r>
    </w:p>
    <w:p>
      <w:pPr>
        <w:pStyle w:val="15"/>
        <w:spacing w:line="576" w:lineRule="exact"/>
        <w:ind w:firstLine="30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 xml:space="preserve"> </w:t>
      </w:r>
    </w:p>
    <w:p>
      <w:pPr>
        <w:pStyle w:val="15"/>
        <w:spacing w:line="576" w:lineRule="exact"/>
        <w:ind w:firstLine="300"/>
        <w:rPr>
          <w:rFonts w:ascii="Times New Roman" w:cs="Times New Roman"/>
          <w:color w:val="000000" w:themeColor="text1"/>
          <w14:textFill>
            <w14:solidFill>
              <w14:schemeClr w14:val="tx1"/>
            </w14:solidFill>
          </w14:textFill>
        </w:rPr>
      </w:pPr>
    </w:p>
    <w:p>
      <w:pPr>
        <w:pStyle w:val="15"/>
        <w:spacing w:line="576" w:lineRule="exact"/>
        <w:ind w:firstLine="300"/>
        <w:rPr>
          <w:rFonts w:ascii="Times New Roman" w:cs="Times New Roman"/>
          <w:color w:val="000000" w:themeColor="text1"/>
          <w14:textFill>
            <w14:solidFill>
              <w14:schemeClr w14:val="tx1"/>
            </w14:solidFill>
          </w14:textFill>
        </w:rPr>
      </w:pPr>
    </w:p>
    <w:p>
      <w:pPr>
        <w:spacing w:line="460" w:lineRule="exact"/>
        <w:jc w:val="center"/>
        <w:rPr>
          <w:rFonts w:ascii="Times New Roman" w:hAnsi="Times New Roman" w:eastAsia="方正楷体_GBK" w:cs="Times New Roman"/>
          <w:bCs/>
          <w:color w:val="000000"/>
          <w:sz w:val="32"/>
          <w:szCs w:val="32"/>
        </w:rPr>
      </w:pPr>
      <w:r>
        <w:rPr>
          <w:rFonts w:ascii="Times New Roman" w:hAnsi="Times New Roman" w:eastAsia="方正楷体_GBK" w:cs="Times New Roman"/>
          <w:bCs/>
          <w:color w:val="000000"/>
          <w:sz w:val="32"/>
          <w:szCs w:val="32"/>
        </w:rPr>
        <w:t>东台市发展和改革委员会</w:t>
      </w:r>
    </w:p>
    <w:p>
      <w:pPr>
        <w:spacing w:line="460" w:lineRule="exact"/>
        <w:jc w:val="center"/>
        <w:rPr>
          <w:rFonts w:ascii="Times New Roman" w:hAnsi="Times New Roman" w:eastAsia="方正楷体_GBK" w:cs="Times New Roman"/>
          <w:bCs/>
          <w:color w:val="000000"/>
          <w:sz w:val="32"/>
          <w:szCs w:val="32"/>
        </w:rPr>
      </w:pPr>
      <w:r>
        <w:rPr>
          <w:rFonts w:ascii="Times New Roman" w:hAnsi="Times New Roman" w:eastAsia="方正楷体_GBK" w:cs="Times New Roman"/>
          <w:bCs/>
          <w:color w:val="000000"/>
          <w:sz w:val="32"/>
          <w:szCs w:val="32"/>
        </w:rPr>
        <w:t>江苏省工程咨询中心有限公司</w:t>
      </w:r>
    </w:p>
    <w:p>
      <w:pPr>
        <w:spacing w:line="576" w:lineRule="exact"/>
        <w:jc w:val="center"/>
        <w:rPr>
          <w:rFonts w:ascii="Times New Roman" w:hAnsi="Times New Roman" w:cs="Times New Roman"/>
          <w:color w:val="000000" w:themeColor="text1"/>
          <w14:textFill>
            <w14:solidFill>
              <w14:schemeClr w14:val="tx1"/>
            </w14:solidFill>
          </w14:textFill>
        </w:rPr>
        <w:sectPr>
          <w:pgSz w:w="12242" w:h="15842"/>
          <w:pgMar w:top="1440" w:right="1800" w:bottom="1440" w:left="1800" w:header="851" w:footer="992" w:gutter="0"/>
          <w:pgNumType w:fmt="upperRoman"/>
          <w:cols w:space="720" w:num="1"/>
          <w:docGrid w:type="lines" w:linePitch="312" w:charSpace="0"/>
        </w:sectPr>
      </w:pPr>
      <w:r>
        <w:rPr>
          <w:rFonts w:ascii="Times New Roman" w:hAnsi="Times New Roman" w:eastAsia="方正楷体_GBK" w:cs="Times New Roman"/>
          <w:bCs/>
          <w:color w:val="000000"/>
          <w:sz w:val="32"/>
          <w:szCs w:val="32"/>
        </w:rPr>
        <w:t>2021年12月</w:t>
      </w:r>
    </w:p>
    <w:p>
      <w:pPr>
        <w:spacing w:line="587" w:lineRule="exact"/>
        <w:ind w:firstLine="640" w:firstLineChars="200"/>
        <w:rPr>
          <w:rFonts w:ascii="Times New Roman" w:hAnsi="Times New Roman" w:eastAsia="方正仿宋_GBK" w:cs="Times New Roman"/>
          <w:sz w:val="32"/>
          <w:szCs w:val="32"/>
        </w:rPr>
      </w:pPr>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“绿色智造地 生态康养城”，是市委、市政府立足东台得天独厚、不可复制的自然禀赋和发展基础，着眼塑造城市最鲜明的个性特征、最具核心竞争力的战略优势，系统性、前瞻性提出的东台未来五年发展定位。发展绿色智造，既是应对新一轮科技革命和产业变革的必然要求，也是落实碳达峰碳中和决策部署的重要举措，更是促进产业全面转型升级、推进产业强市建设的现实需要。为贯彻落实市第十五次党代会精神，提升东台绿色智造竞争力和可持续发展能力，实现高质量发展，特制定本行动计划。</w:t>
      </w:r>
    </w:p>
    <w:p>
      <w:pPr>
        <w:pStyle w:val="3"/>
        <w:keepNext/>
        <w:keepLines/>
        <w:widowControl/>
        <w:spacing w:before="120" w:beforeAutospacing="0" w:after="120" w:afterAutospacing="0"/>
        <w:ind w:firstLine="640" w:firstLineChars="200"/>
        <w:rPr>
          <w:rFonts w:hint="default" w:ascii="Times New Roman" w:hAnsi="Times New Roman" w:eastAsia="方正黑体_GBK"/>
          <w:b w:val="0"/>
          <w:sz w:val="32"/>
          <w:szCs w:val="44"/>
          <w:lang w:bidi="bo-CN"/>
        </w:rPr>
      </w:pPr>
      <w:bookmarkStart w:id="3" w:name="_Toc15404"/>
      <w:bookmarkStart w:id="4" w:name="_Toc20965"/>
      <w:r>
        <w:rPr>
          <w:rFonts w:hint="default" w:ascii="Times New Roman" w:hAnsi="Times New Roman" w:eastAsia="方正黑体_GBK"/>
          <w:b w:val="0"/>
          <w:sz w:val="32"/>
          <w:szCs w:val="44"/>
          <w:lang w:bidi="bo-CN"/>
        </w:rPr>
        <w:t>一、总体要求</w:t>
      </w:r>
      <w:bookmarkEnd w:id="3"/>
      <w:bookmarkEnd w:id="4"/>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5" w:name="_Toc24056"/>
      <w:r>
        <w:rPr>
          <w:rStyle w:val="44"/>
          <w:rFonts w:hint="default" w:ascii="Times New Roman" w:hAnsi="Times New Roman" w:eastAsia="方正楷体_GBK"/>
          <w:b w:val="0"/>
          <w:bCs/>
          <w:spacing w:val="8"/>
          <w:kern w:val="0"/>
          <w:sz w:val="32"/>
          <w:szCs w:val="20"/>
          <w:lang w:bidi="bo-CN"/>
        </w:rPr>
        <w:t>（一）指导思想</w:t>
      </w:r>
      <w:bookmarkEnd w:id="5"/>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以习近平新时代中国特色社会主义思想为指导，全面贯彻党的十九大和十九届</w:t>
      </w:r>
      <w:r>
        <w:rPr>
          <w:rFonts w:hint="eastAsia" w:ascii="Times New Roman" w:hAnsi="Times New Roman" w:eastAsia="方正仿宋_GBK" w:cs="Times New Roman"/>
          <w:sz w:val="32"/>
          <w:szCs w:val="32"/>
        </w:rPr>
        <w:t>历次</w:t>
      </w:r>
      <w:r>
        <w:rPr>
          <w:rFonts w:ascii="Times New Roman" w:hAnsi="Times New Roman" w:eastAsia="方正仿宋_GBK" w:cs="Times New Roman"/>
          <w:sz w:val="32"/>
          <w:szCs w:val="32"/>
        </w:rPr>
        <w:t>全会精神，深入贯彻习近平总书记视察江苏重要指示精神，</w:t>
      </w:r>
      <w:r>
        <w:rPr>
          <w:rFonts w:hint="eastAsia" w:ascii="Times New Roman" w:hAnsi="Times New Roman" w:eastAsia="方正仿宋_GBK" w:cs="Times New Roman"/>
          <w:sz w:val="32"/>
          <w:szCs w:val="32"/>
        </w:rPr>
        <w:t>坚持稳中求进工作总基调，</w:t>
      </w:r>
      <w:r>
        <w:rPr>
          <w:rFonts w:ascii="Times New Roman" w:hAnsi="Times New Roman" w:eastAsia="方正仿宋_GBK" w:cs="Times New Roman"/>
          <w:sz w:val="32"/>
          <w:szCs w:val="32"/>
        </w:rPr>
        <w:t>科学把握新发展阶段，坚定贯彻新发展理念，</w:t>
      </w:r>
      <w:r>
        <w:rPr>
          <w:rFonts w:hint="eastAsia" w:ascii="Times New Roman" w:hAnsi="Times New Roman" w:eastAsia="方正仿宋_GBK" w:cs="Times New Roman"/>
          <w:sz w:val="32"/>
          <w:szCs w:val="32"/>
        </w:rPr>
        <w:t>加快</w:t>
      </w:r>
      <w:r>
        <w:rPr>
          <w:rFonts w:ascii="Times New Roman" w:hAnsi="Times New Roman" w:eastAsia="方正仿宋_GBK" w:cs="Times New Roman"/>
          <w:sz w:val="32"/>
          <w:szCs w:val="32"/>
        </w:rPr>
        <w:t>构建新发展格局，牢牢把握产业绿色化、绿色产业化的变革趋势，坚守实体经济根本，以更高定位打造“产业强市”升级版，加快构建以先进制造业为主体、以新兴服务业为支撑、以现代农业为特色的绿色低碳产业体系，实施产业布局优化、载体平台建设、市场主体培育、科技创新突破、数字赋能增效、绿色低碳发展、质量品牌提升、开放合作共赢</w:t>
      </w:r>
      <w:r>
        <w:rPr>
          <w:rFonts w:ascii="Times New Roman" w:hAnsi="Times New Roman" w:eastAsia="黑体" w:cs="Times New Roman"/>
          <w:sz w:val="32"/>
          <w:szCs w:val="32"/>
        </w:rPr>
        <w:t>八大行动</w:t>
      </w:r>
      <w:r>
        <w:rPr>
          <w:rFonts w:ascii="Times New Roman" w:hAnsi="Times New Roman" w:eastAsia="方正仿宋_GBK" w:cs="Times New Roman"/>
          <w:sz w:val="32"/>
          <w:szCs w:val="32"/>
        </w:rPr>
        <w:t>，努力让绿色智造成为东台最富知名度的产业地标、最强驱动力的增长引擎，推动一二三次产业向绿色经济形态加速演变，实现产业结构层次的重大飞跃。</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6" w:name="_Toc4329"/>
      <w:r>
        <w:rPr>
          <w:rStyle w:val="44"/>
          <w:rFonts w:hint="default" w:ascii="Times New Roman" w:hAnsi="Times New Roman" w:eastAsia="方正楷体_GBK"/>
          <w:b w:val="0"/>
          <w:bCs/>
          <w:spacing w:val="8"/>
          <w:kern w:val="0"/>
          <w:sz w:val="32"/>
          <w:szCs w:val="20"/>
          <w:lang w:bidi="bo-CN"/>
        </w:rPr>
        <w:t>（二）主要原则</w:t>
      </w:r>
      <w:bookmarkEnd w:id="6"/>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集聚集约，绿色发展。</w:t>
      </w:r>
      <w:r>
        <w:rPr>
          <w:rFonts w:ascii="Times New Roman" w:hAnsi="Times New Roman" w:eastAsia="方正仿宋_GBK" w:cs="Times New Roman"/>
          <w:sz w:val="32"/>
          <w:szCs w:val="32"/>
        </w:rPr>
        <w:t>全面落实碳达峰和碳中和重大决策部署，遏制“两高”项目盲目发展，按照“一盘棋”思路整体谋划全市产业空间布局，推行绿色安全生产，强化资源能源集约高效利用，实现绿色转型、绿色跨越，促进经济效益、社会效益与生态效益的有机统一。</w:t>
      </w:r>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创新引领，数字赋能。</w:t>
      </w:r>
      <w:r>
        <w:rPr>
          <w:rFonts w:ascii="Times New Roman" w:hAnsi="Times New Roman" w:eastAsia="方正仿宋_GBK" w:cs="Times New Roman"/>
          <w:sz w:val="32"/>
          <w:szCs w:val="32"/>
        </w:rPr>
        <w:t>坚持把创新作为引领发展的第一动力，加强自主创新和协同创新，建设高水平高能级的产业创新平台载体，促进科技成果转化落地，加快数字技术创新应用，提高研发效果和智造水平，推动数字经济和实体经济深度融合。</w:t>
      </w:r>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转型升级，提质增效。</w:t>
      </w:r>
      <w:r>
        <w:rPr>
          <w:rFonts w:ascii="Times New Roman" w:hAnsi="Times New Roman" w:eastAsia="方正仿宋_GBK" w:cs="Times New Roman"/>
          <w:sz w:val="32"/>
          <w:szCs w:val="32"/>
        </w:rPr>
        <w:t>瞄准高端化、融合化、品牌化发展方向，兼顾传统产业和新兴产业，实施延链、补链、强链，强化标准品牌建设，以绿色和智造相结合的模式推进产业全面转型升级，提高产业基础高级化和产业链现代化水平，全面推动量质双提升。</w:t>
      </w:r>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开放包容，合作共赢。</w:t>
      </w:r>
      <w:r>
        <w:rPr>
          <w:rFonts w:ascii="Times New Roman" w:hAnsi="Times New Roman" w:eastAsia="方正仿宋_GBK" w:cs="Times New Roman"/>
          <w:sz w:val="32"/>
          <w:szCs w:val="32"/>
        </w:rPr>
        <w:t>全方位深度接轨上海，高质量融入长三角区域一体化发展和江苏沿海发展，持续优化营商环境，创新项目招引和高端要素招引体制机制，提升“双招双引”水平，通过开放合作促进跨越式发展，更好地融入“双循环”新发展格局。</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7" w:name="_Toc3141"/>
      <w:r>
        <w:rPr>
          <w:rStyle w:val="44"/>
          <w:rFonts w:hint="default" w:ascii="Times New Roman" w:hAnsi="Times New Roman" w:eastAsia="方正楷体_GBK"/>
          <w:b w:val="0"/>
          <w:bCs/>
          <w:spacing w:val="8"/>
          <w:kern w:val="0"/>
          <w:sz w:val="32"/>
          <w:szCs w:val="20"/>
          <w:lang w:bidi="bo-CN"/>
        </w:rPr>
        <w:t>（三）发展目标</w:t>
      </w:r>
      <w:bookmarkEnd w:id="7"/>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到2023年末，</w:t>
      </w:r>
      <w:r>
        <w:rPr>
          <w:rFonts w:hint="eastAsia" w:ascii="Times New Roman" w:hAnsi="Times New Roman" w:eastAsia="方正仿宋_GBK" w:cs="Times New Roman"/>
          <w:sz w:val="32"/>
          <w:szCs w:val="32"/>
        </w:rPr>
        <w:t>绿色智造理念全面树立，大力发展绿色智造的氛围全面形成，促进绿色智造发展的政策全面实施，</w:t>
      </w:r>
      <w:r>
        <w:rPr>
          <w:rFonts w:ascii="Times New Roman" w:hAnsi="Times New Roman" w:eastAsia="方正仿宋_GBK" w:cs="Times New Roman"/>
          <w:sz w:val="32"/>
          <w:szCs w:val="32"/>
        </w:rPr>
        <w:t>全市绿色智造产业体系</w:t>
      </w:r>
      <w:r>
        <w:rPr>
          <w:rFonts w:hint="eastAsia" w:ascii="Times New Roman" w:hAnsi="Times New Roman" w:eastAsia="方正仿宋_GBK" w:cs="Times New Roman"/>
          <w:sz w:val="32"/>
          <w:szCs w:val="32"/>
        </w:rPr>
        <w:t>框架基本形成</w:t>
      </w:r>
      <w:r>
        <w:rPr>
          <w:rFonts w:ascii="Times New Roman" w:hAnsi="Times New Roman" w:eastAsia="方正仿宋_GBK" w:cs="Times New Roman"/>
          <w:sz w:val="32"/>
          <w:szCs w:val="32"/>
        </w:rPr>
        <w:t>，产业园区优化整合效应</w:t>
      </w:r>
      <w:r>
        <w:rPr>
          <w:rFonts w:hint="eastAsia" w:ascii="Times New Roman" w:hAnsi="Times New Roman" w:eastAsia="方正仿宋_GBK" w:cs="Times New Roman"/>
          <w:sz w:val="32"/>
          <w:szCs w:val="32"/>
        </w:rPr>
        <w:t>逐步</w:t>
      </w:r>
      <w:r>
        <w:rPr>
          <w:rFonts w:ascii="Times New Roman" w:hAnsi="Times New Roman" w:eastAsia="方正仿宋_GBK" w:cs="Times New Roman"/>
          <w:sz w:val="32"/>
          <w:szCs w:val="32"/>
        </w:rPr>
        <w:t>彰显，通过自主创新能力的</w:t>
      </w:r>
      <w:r>
        <w:rPr>
          <w:rFonts w:hint="eastAsia" w:ascii="Times New Roman" w:hAnsi="Times New Roman" w:eastAsia="方正仿宋_GBK" w:cs="Times New Roman"/>
          <w:sz w:val="32"/>
          <w:szCs w:val="32"/>
        </w:rPr>
        <w:t>显著</w:t>
      </w:r>
      <w:r>
        <w:rPr>
          <w:rFonts w:ascii="Times New Roman" w:hAnsi="Times New Roman" w:eastAsia="方正仿宋_GBK" w:cs="Times New Roman"/>
          <w:sz w:val="32"/>
          <w:szCs w:val="32"/>
        </w:rPr>
        <w:t>提高促进质量品牌效益全面提升，全面亮出并打响东台“绿色智造地”崭新名片。</w:t>
      </w:r>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末，全市绿色智造产业发展能级进一步提升，全域产业空间布局进一步优化，绿色智造技术创新应用能力进一步增强，两化融合发展水平进一步提高，绿色低碳循环生产方式进一步建立，绿色智造生态体系建设进一步完善，绿色智造发展综合竞争力位居苏中苏北前列，绿色智造成为“强富美高”新东台建设的靓丽名片。</w:t>
      </w:r>
    </w:p>
    <w:p>
      <w:pPr>
        <w:pStyle w:val="6"/>
        <w:widowControl/>
        <w:rPr>
          <w:rFonts w:ascii="Times New Roman" w:hAnsi="Times New Roman" w:cs="Times New Roman"/>
        </w:rPr>
      </w:pPr>
      <w:bookmarkStart w:id="8" w:name="_Toc3323"/>
      <w:bookmarkStart w:id="9" w:name="_Toc1556"/>
      <w:r>
        <w:rPr>
          <w:rFonts w:ascii="Times New Roman" w:hAnsi="Times New Roman" w:cs="Times New Roman"/>
        </w:rPr>
        <w:t>表1  东台市绿色智造发展目标指标表</w:t>
      </w:r>
      <w:bookmarkEnd w:id="8"/>
      <w:bookmarkEnd w:id="9"/>
    </w:p>
    <w:tbl>
      <w:tblPr>
        <w:tblStyle w:val="16"/>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874"/>
        <w:gridCol w:w="3101"/>
        <w:gridCol w:w="1163"/>
        <w:gridCol w:w="1159"/>
        <w:gridCol w:w="1159"/>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95"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序号</w:t>
            </w: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一级指标</w:t>
            </w: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二级指标</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2020年</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2023年</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2025年</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w:t>
            </w:r>
          </w:p>
        </w:tc>
        <w:tc>
          <w:tcPr>
            <w:tcW w:w="874" w:type="dxa"/>
            <w:vMerge w:val="restart"/>
            <w:tcBorders>
              <w:top w:val="nil"/>
              <w:left w:val="single" w:color="auto" w:sz="4" w:space="0"/>
              <w:right w:val="single" w:color="auto" w:sz="4" w:space="0"/>
            </w:tcBorders>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产业</w:t>
            </w:r>
          </w:p>
          <w:p>
            <w:pPr>
              <w:spacing w:line="320" w:lineRule="exact"/>
              <w:jc w:val="center"/>
              <w:rPr>
                <w:rStyle w:val="24"/>
                <w:rFonts w:eastAsia="方正仿宋_GBK"/>
                <w:b w:val="0"/>
                <w:bCs w:val="0"/>
                <w:color w:val="000000"/>
                <w:sz w:val="24"/>
              </w:rPr>
            </w:pPr>
          </w:p>
          <w:p>
            <w:pPr>
              <w:spacing w:line="320" w:lineRule="exact"/>
              <w:jc w:val="center"/>
              <w:rPr>
                <w:rFonts w:ascii="Times New Roman" w:hAnsi="Times New Roman" w:eastAsia="方正仿宋_GBK" w:cs="Times New Roman"/>
                <w:color w:val="000000"/>
                <w:kern w:val="36"/>
                <w:sz w:val="24"/>
              </w:rPr>
            </w:pPr>
            <w:r>
              <w:rPr>
                <w:rStyle w:val="24"/>
                <w:rFonts w:eastAsia="方正仿宋_GBK"/>
                <w:b w:val="0"/>
                <w:bCs w:val="0"/>
                <w:color w:val="000000"/>
                <w:sz w:val="24"/>
              </w:rPr>
              <w:t>能级</w:t>
            </w: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四大主导产业全口径工业开票销售（亿元）</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750</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1300</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1700</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2</w:t>
            </w:r>
          </w:p>
        </w:tc>
        <w:tc>
          <w:tcPr>
            <w:tcW w:w="874" w:type="dxa"/>
            <w:vMerge w:val="continue"/>
            <w:tcBorders>
              <w:left w:val="single" w:color="auto" w:sz="4" w:space="0"/>
              <w:right w:val="single" w:color="auto" w:sz="4" w:space="0"/>
            </w:tcBorders>
            <w:vAlign w:val="center"/>
          </w:tcPr>
          <w:p>
            <w:pPr>
              <w:widowControl/>
              <w:jc w:val="center"/>
              <w:rPr>
                <w:rFonts w:ascii="Times New Roman" w:hAnsi="Times New Roman" w:eastAsia="方正仿宋_GBK" w:cs="Times New Roman"/>
                <w:color w:val="000000"/>
                <w:kern w:val="36"/>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服务业增加值（亿元）</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452.5</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550</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630</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3</w:t>
            </w:r>
          </w:p>
        </w:tc>
        <w:tc>
          <w:tcPr>
            <w:tcW w:w="874" w:type="dxa"/>
            <w:vMerge w:val="continue"/>
            <w:tcBorders>
              <w:left w:val="single" w:color="auto" w:sz="4" w:space="0"/>
              <w:right w:val="single" w:color="auto" w:sz="4" w:space="0"/>
            </w:tcBorders>
            <w:vAlign w:val="center"/>
          </w:tcPr>
          <w:p>
            <w:pPr>
              <w:widowControl/>
              <w:jc w:val="center"/>
              <w:rPr>
                <w:rFonts w:ascii="Times New Roman" w:hAnsi="Times New Roman" w:eastAsia="方正仿宋_GBK" w:cs="Times New Roman"/>
                <w:color w:val="000000"/>
                <w:kern w:val="36"/>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生产性服务业增加值占服务业增加值比重（%）</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25</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35</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40</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4</w:t>
            </w:r>
          </w:p>
        </w:tc>
        <w:tc>
          <w:tcPr>
            <w:tcW w:w="87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color w:val="000000"/>
                <w:kern w:val="36"/>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农业加工业产值与农业产值比</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2.3:1</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2.9:1</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3.3:1</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pacing w:val="-11"/>
                <w:sz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5</w:t>
            </w:r>
          </w:p>
        </w:tc>
        <w:tc>
          <w:tcPr>
            <w:tcW w:w="874" w:type="dxa"/>
            <w:vMerge w:val="restart"/>
            <w:tcBorders>
              <w:left w:val="single" w:color="auto" w:sz="4" w:space="0"/>
              <w:right w:val="single" w:color="auto" w:sz="4" w:space="0"/>
            </w:tcBorders>
            <w:vAlign w:val="center"/>
          </w:tcPr>
          <w:p>
            <w:pPr>
              <w:widowControl/>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科技</w:t>
            </w:r>
          </w:p>
          <w:p>
            <w:pPr>
              <w:widowControl/>
              <w:jc w:val="center"/>
              <w:rPr>
                <w:rFonts w:ascii="Times New Roman" w:hAnsi="Times New Roman" w:eastAsia="方正仿宋_GBK" w:cs="Times New Roman"/>
                <w:color w:val="000000"/>
                <w:kern w:val="36"/>
                <w:sz w:val="24"/>
              </w:rPr>
            </w:pPr>
          </w:p>
          <w:p>
            <w:pPr>
              <w:widowControl/>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创新</w:t>
            </w: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Style w:val="24"/>
                <w:rFonts w:eastAsia="方正仿宋_GBK"/>
                <w:b w:val="0"/>
                <w:bCs w:val="0"/>
                <w:color w:val="000000"/>
                <w:sz w:val="24"/>
              </w:rPr>
            </w:pPr>
            <w:r>
              <w:rPr>
                <w:rStyle w:val="24"/>
                <w:rFonts w:eastAsia="方正仿宋_GBK"/>
                <w:b w:val="0"/>
                <w:bCs w:val="0"/>
                <w:color w:val="000000"/>
                <w:sz w:val="24"/>
              </w:rPr>
              <w:t>研发经费支出占地区生产总值比重（%）</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2.5</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2.8</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3</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6</w:t>
            </w:r>
          </w:p>
        </w:tc>
        <w:tc>
          <w:tcPr>
            <w:tcW w:w="874" w:type="dxa"/>
            <w:vMerge w:val="continue"/>
            <w:tcBorders>
              <w:left w:val="single" w:color="auto" w:sz="4" w:space="0"/>
              <w:right w:val="single" w:color="auto" w:sz="4" w:space="0"/>
            </w:tcBorders>
            <w:vAlign w:val="center"/>
          </w:tcPr>
          <w:p>
            <w:pPr>
              <w:widowControl/>
              <w:jc w:val="center"/>
              <w:rPr>
                <w:rFonts w:ascii="Times New Roman" w:hAnsi="Times New Roman" w:eastAsia="方正仿宋_GBK" w:cs="Times New Roman"/>
                <w:color w:val="000000"/>
                <w:kern w:val="36"/>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Style w:val="24"/>
                <w:rFonts w:eastAsia="方正仿宋_GBK"/>
                <w:b w:val="0"/>
                <w:bCs w:val="0"/>
                <w:color w:val="000000"/>
                <w:sz w:val="24"/>
              </w:rPr>
            </w:pPr>
            <w:r>
              <w:rPr>
                <w:rStyle w:val="24"/>
                <w:rFonts w:eastAsia="方正仿宋_GBK"/>
                <w:b w:val="0"/>
                <w:bCs w:val="0"/>
                <w:color w:val="000000"/>
                <w:sz w:val="24"/>
              </w:rPr>
              <w:t>高新技术产业产值占规模以上工业产值比重（%）</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hint="eastAsia" w:ascii="Times New Roman" w:hAnsi="Times New Roman" w:eastAsia="方正仿宋_GBK" w:cs="Times New Roman"/>
                <w:color w:val="000000"/>
                <w:kern w:val="36"/>
                <w:sz w:val="24"/>
              </w:rPr>
              <w:t>37</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eastAsia" w:ascii="Times New Roman" w:hAnsi="Times New Roman" w:eastAsia="方正仿宋_GBK" w:cs="Times New Roman"/>
                <w:color w:val="0000FF"/>
                <w:kern w:val="36"/>
                <w:sz w:val="24"/>
                <w:lang w:eastAsia="zh-CN"/>
              </w:rPr>
            </w:pPr>
            <w:r>
              <w:rPr>
                <w:rFonts w:ascii="Times New Roman" w:hAnsi="Times New Roman" w:eastAsia="方正仿宋_GBK" w:cs="Times New Roman"/>
                <w:color w:val="0000FF"/>
                <w:kern w:val="36"/>
                <w:sz w:val="24"/>
              </w:rPr>
              <w:t>4</w:t>
            </w:r>
            <w:r>
              <w:rPr>
                <w:rFonts w:hint="eastAsia" w:ascii="Times New Roman" w:hAnsi="Times New Roman" w:eastAsia="方正仿宋_GBK" w:cs="Times New Roman"/>
                <w:color w:val="0000FF"/>
                <w:kern w:val="36"/>
                <w:sz w:val="24"/>
                <w:lang w:val="en-US" w:eastAsia="zh-CN"/>
              </w:rPr>
              <w:t>3</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hint="default" w:ascii="Times New Roman" w:hAnsi="Times New Roman" w:eastAsia="方正仿宋_GBK" w:cs="Times New Roman"/>
                <w:color w:val="0000FF"/>
                <w:kern w:val="36"/>
                <w:sz w:val="24"/>
                <w:lang w:val="en-US" w:eastAsia="zh-CN"/>
              </w:rPr>
            </w:pPr>
            <w:r>
              <w:rPr>
                <w:rFonts w:hint="eastAsia" w:ascii="Times New Roman" w:hAnsi="Times New Roman" w:eastAsia="方正仿宋_GBK" w:cs="Times New Roman"/>
                <w:color w:val="0000FF"/>
                <w:kern w:val="36"/>
                <w:sz w:val="24"/>
                <w:lang w:val="en-US" w:eastAsia="zh-CN"/>
              </w:rPr>
              <w:t>48</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7</w:t>
            </w:r>
          </w:p>
        </w:tc>
        <w:tc>
          <w:tcPr>
            <w:tcW w:w="874" w:type="dxa"/>
            <w:vMerge w:val="continue"/>
            <w:tcBorders>
              <w:left w:val="single" w:color="auto" w:sz="4" w:space="0"/>
              <w:right w:val="single" w:color="auto" w:sz="4" w:space="0"/>
            </w:tcBorders>
            <w:vAlign w:val="center"/>
          </w:tcPr>
          <w:p>
            <w:pPr>
              <w:widowControl/>
              <w:jc w:val="center"/>
              <w:rPr>
                <w:rFonts w:ascii="Times New Roman" w:hAnsi="Times New Roman" w:eastAsia="方正仿宋_GBK" w:cs="Times New Roman"/>
                <w:color w:val="000000"/>
                <w:kern w:val="36"/>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Style w:val="24"/>
                <w:rFonts w:eastAsia="方正仿宋_GBK"/>
                <w:b w:val="0"/>
                <w:bCs w:val="0"/>
                <w:color w:val="000000"/>
                <w:sz w:val="24"/>
              </w:rPr>
            </w:pPr>
            <w:r>
              <w:rPr>
                <w:rStyle w:val="24"/>
                <w:rFonts w:eastAsia="方正仿宋_GBK"/>
                <w:b w:val="0"/>
                <w:bCs w:val="0"/>
                <w:color w:val="000000"/>
                <w:sz w:val="24"/>
              </w:rPr>
              <w:t>高新技术企业数量（家）</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211</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350</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500</w:t>
            </w:r>
            <w:bookmarkStart w:id="32" w:name="_GoBack"/>
            <w:bookmarkEnd w:id="32"/>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8</w:t>
            </w:r>
          </w:p>
        </w:tc>
        <w:tc>
          <w:tcPr>
            <w:tcW w:w="87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color w:val="000000"/>
                <w:kern w:val="36"/>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kern w:val="36"/>
                <w:sz w:val="24"/>
              </w:rPr>
            </w:pPr>
            <w:r>
              <w:rPr>
                <w:rStyle w:val="24"/>
                <w:rFonts w:eastAsia="方正仿宋_GBK"/>
                <w:b w:val="0"/>
                <w:bCs w:val="0"/>
                <w:color w:val="000000"/>
                <w:sz w:val="24"/>
              </w:rPr>
              <w:t>省级以上企业研发机构数量（个）</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63</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100</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120</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36"/>
                <w:sz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9</w:t>
            </w:r>
          </w:p>
        </w:tc>
        <w:tc>
          <w:tcPr>
            <w:tcW w:w="874" w:type="dxa"/>
            <w:vMerge w:val="restart"/>
            <w:tcBorders>
              <w:left w:val="single" w:color="auto" w:sz="4" w:space="0"/>
              <w:right w:val="single" w:color="auto" w:sz="4" w:space="0"/>
            </w:tcBorders>
            <w:vAlign w:val="center"/>
          </w:tcPr>
          <w:p>
            <w:pPr>
              <w:widowControl/>
              <w:jc w:val="center"/>
              <w:rPr>
                <w:rFonts w:ascii="Times New Roman" w:hAnsi="Times New Roman" w:eastAsia="方正仿宋_GBK" w:cs="Times New Roman"/>
                <w:color w:val="000000"/>
                <w:kern w:val="36"/>
                <w:sz w:val="24"/>
              </w:rPr>
            </w:pPr>
            <w:r>
              <w:rPr>
                <w:rStyle w:val="24"/>
                <w:rFonts w:eastAsia="方正仿宋_GBK"/>
                <w:b w:val="0"/>
                <w:bCs w:val="0"/>
                <w:color w:val="000000"/>
                <w:sz w:val="24"/>
              </w:rPr>
              <w:t>数字赋能</w:t>
            </w: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数字经济产业规模（亿元）</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500</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800</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市</w:t>
            </w:r>
            <w:r>
              <w:rPr>
                <w:rFonts w:ascii="Times New Roman" w:hAnsi="Times New Roman" w:eastAsia="方正仿宋_GBK" w:cs="Times New Roman"/>
                <w:color w:val="000000"/>
                <w:kern w:val="36"/>
                <w:sz w:val="24"/>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10</w:t>
            </w:r>
          </w:p>
        </w:tc>
        <w:tc>
          <w:tcPr>
            <w:tcW w:w="874" w:type="dxa"/>
            <w:vMerge w:val="continue"/>
            <w:tcBorders>
              <w:left w:val="single" w:color="auto" w:sz="4" w:space="0"/>
              <w:right w:val="single" w:color="auto" w:sz="4" w:space="0"/>
            </w:tcBorders>
            <w:vAlign w:val="center"/>
          </w:tcPr>
          <w:p>
            <w:pPr>
              <w:widowControl/>
              <w:jc w:val="center"/>
              <w:rPr>
                <w:rStyle w:val="24"/>
                <w:rFonts w:eastAsia="方正仿宋_GBK"/>
                <w:b w:val="0"/>
                <w:bCs w:val="0"/>
                <w:color w:val="000000"/>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sz w:val="24"/>
              </w:rPr>
            </w:pPr>
            <w:r>
              <w:rPr>
                <w:rStyle w:val="24"/>
                <w:rFonts w:eastAsia="方正仿宋_GBK"/>
                <w:b w:val="0"/>
                <w:bCs w:val="0"/>
                <w:color w:val="000000"/>
                <w:sz w:val="24"/>
              </w:rPr>
              <w:t>省级以上智能车间（智能工厂）数量（个）</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4</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10</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23</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36"/>
                <w:sz w:val="24"/>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11</w:t>
            </w:r>
          </w:p>
        </w:tc>
        <w:tc>
          <w:tcPr>
            <w:tcW w:w="874" w:type="dxa"/>
            <w:vMerge w:val="continue"/>
            <w:tcBorders>
              <w:left w:val="single" w:color="auto" w:sz="4" w:space="0"/>
              <w:right w:val="single" w:color="auto" w:sz="4" w:space="0"/>
            </w:tcBorders>
            <w:vAlign w:val="center"/>
          </w:tcPr>
          <w:p>
            <w:pPr>
              <w:widowControl/>
              <w:jc w:val="center"/>
              <w:rPr>
                <w:rFonts w:ascii="Times New Roman" w:hAnsi="Times New Roman" w:eastAsia="方正仿宋_GBK" w:cs="Times New Roman"/>
                <w:color w:val="000000"/>
                <w:kern w:val="36"/>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sz w:val="24"/>
              </w:rPr>
            </w:pPr>
            <w:r>
              <w:rPr>
                <w:rStyle w:val="24"/>
                <w:rFonts w:eastAsia="方正仿宋_GBK"/>
                <w:b w:val="0"/>
                <w:bCs w:val="0"/>
                <w:color w:val="000000"/>
                <w:sz w:val="24"/>
              </w:rPr>
              <w:t>星级“上云”企业数量（个）</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62</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100</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120</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36"/>
                <w:sz w:val="24"/>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12</w:t>
            </w:r>
          </w:p>
        </w:tc>
        <w:tc>
          <w:tcPr>
            <w:tcW w:w="874" w:type="dxa"/>
            <w:vMerge w:val="continue"/>
            <w:tcBorders>
              <w:left w:val="single" w:color="auto" w:sz="4" w:space="0"/>
              <w:right w:val="single" w:color="auto" w:sz="4" w:space="0"/>
            </w:tcBorders>
            <w:vAlign w:val="center"/>
          </w:tcPr>
          <w:p>
            <w:pPr>
              <w:widowControl/>
              <w:jc w:val="center"/>
              <w:rPr>
                <w:rFonts w:ascii="Times New Roman" w:hAnsi="Times New Roman" w:eastAsia="方正仿宋_GBK" w:cs="Times New Roman"/>
                <w:color w:val="000000"/>
                <w:kern w:val="36"/>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Style w:val="24"/>
                <w:rFonts w:eastAsia="方正仿宋_GBK"/>
                <w:b w:val="0"/>
                <w:bCs w:val="0"/>
                <w:color w:val="000000"/>
                <w:sz w:val="24"/>
              </w:rPr>
            </w:pPr>
            <w:r>
              <w:rPr>
                <w:rStyle w:val="24"/>
                <w:rFonts w:eastAsia="方正仿宋_GBK"/>
                <w:b w:val="0"/>
                <w:bCs w:val="0"/>
                <w:color w:val="000000"/>
                <w:sz w:val="24"/>
              </w:rPr>
              <w:t>省级以上工业互联网平台、应用标杆工厂（个）</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0</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5</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6</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36"/>
                <w:sz w:val="24"/>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13</w:t>
            </w:r>
          </w:p>
        </w:tc>
        <w:tc>
          <w:tcPr>
            <w:tcW w:w="87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color w:val="000000"/>
                <w:kern w:val="36"/>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sz w:val="24"/>
              </w:rPr>
            </w:pPr>
            <w:r>
              <w:rPr>
                <w:rStyle w:val="24"/>
                <w:rFonts w:eastAsia="方正仿宋_GBK"/>
                <w:b w:val="0"/>
                <w:bCs w:val="0"/>
                <w:color w:val="000000"/>
                <w:sz w:val="24"/>
              </w:rPr>
              <w:t>关键工序制造设备数控化率（%）</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80</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83</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85</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36"/>
                <w:sz w:val="24"/>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14</w:t>
            </w:r>
          </w:p>
        </w:tc>
        <w:tc>
          <w:tcPr>
            <w:tcW w:w="874" w:type="dxa"/>
            <w:vMerge w:val="restart"/>
            <w:tcBorders>
              <w:top w:val="nil"/>
              <w:left w:val="single" w:color="auto" w:sz="4" w:space="0"/>
              <w:right w:val="single" w:color="auto" w:sz="4" w:space="0"/>
            </w:tcBorders>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绿色</w:t>
            </w:r>
          </w:p>
          <w:p>
            <w:pPr>
              <w:spacing w:line="320" w:lineRule="exact"/>
              <w:jc w:val="center"/>
              <w:rPr>
                <w:rStyle w:val="24"/>
                <w:rFonts w:eastAsia="方正仿宋_GBK"/>
                <w:b w:val="0"/>
                <w:bCs w:val="0"/>
                <w:color w:val="000000"/>
                <w:sz w:val="24"/>
              </w:rPr>
            </w:pPr>
          </w:p>
          <w:p>
            <w:pPr>
              <w:spacing w:line="320" w:lineRule="exact"/>
              <w:jc w:val="center"/>
              <w:rPr>
                <w:rStyle w:val="24"/>
                <w:rFonts w:eastAsia="方正仿宋_GBK"/>
                <w:b w:val="0"/>
                <w:bCs w:val="0"/>
                <w:color w:val="000000"/>
                <w:sz w:val="24"/>
              </w:rPr>
            </w:pPr>
            <w:r>
              <w:rPr>
                <w:rStyle w:val="24"/>
                <w:rFonts w:hint="eastAsia" w:eastAsia="方正仿宋_GBK"/>
                <w:b w:val="0"/>
                <w:bCs w:val="0"/>
                <w:color w:val="000000"/>
                <w:sz w:val="24"/>
              </w:rPr>
              <w:t>低碳</w:t>
            </w: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sz w:val="24"/>
              </w:rPr>
            </w:pPr>
            <w:r>
              <w:rPr>
                <w:rStyle w:val="24"/>
                <w:rFonts w:eastAsia="方正仿宋_GBK"/>
                <w:b w:val="0"/>
                <w:bCs w:val="0"/>
                <w:color w:val="000000"/>
                <w:sz w:val="24"/>
              </w:rPr>
              <w:t>省级以上绿色工厂数量（个）</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2</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6</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10</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15</w:t>
            </w:r>
          </w:p>
        </w:tc>
        <w:tc>
          <w:tcPr>
            <w:tcW w:w="874" w:type="dxa"/>
            <w:vMerge w:val="continue"/>
            <w:tcBorders>
              <w:left w:val="single" w:color="auto" w:sz="4" w:space="0"/>
              <w:right w:val="single" w:color="auto" w:sz="4" w:space="0"/>
            </w:tcBorders>
            <w:vAlign w:val="center"/>
          </w:tcPr>
          <w:p>
            <w:pPr>
              <w:spacing w:line="320" w:lineRule="exact"/>
              <w:jc w:val="center"/>
              <w:rPr>
                <w:rStyle w:val="24"/>
                <w:rFonts w:eastAsia="方正仿宋_GBK"/>
                <w:b w:val="0"/>
                <w:bCs w:val="0"/>
                <w:color w:val="000000"/>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Style w:val="24"/>
                <w:rFonts w:eastAsia="方正仿宋_GBK"/>
                <w:b w:val="0"/>
                <w:bCs w:val="0"/>
                <w:color w:val="000000"/>
                <w:sz w:val="24"/>
              </w:rPr>
            </w:pPr>
            <w:r>
              <w:rPr>
                <w:rStyle w:val="24"/>
                <w:rFonts w:eastAsia="方正仿宋_GBK"/>
                <w:b w:val="0"/>
                <w:bCs w:val="0"/>
                <w:color w:val="000000"/>
                <w:sz w:val="24"/>
              </w:rPr>
              <w:t>非化石能源占一次能源消费比重（%）</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25.</w:t>
            </w:r>
            <w:r>
              <w:rPr>
                <w:rFonts w:hint="eastAsia" w:ascii="Times New Roman" w:hAnsi="Times New Roman" w:eastAsia="方正仿宋_GBK" w:cs="Times New Roman"/>
                <w:color w:val="000000"/>
                <w:kern w:val="36"/>
                <w:sz w:val="24"/>
              </w:rPr>
              <w:t>8</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30</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35</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16</w:t>
            </w:r>
          </w:p>
        </w:tc>
        <w:tc>
          <w:tcPr>
            <w:tcW w:w="874" w:type="dxa"/>
            <w:vMerge w:val="continue"/>
            <w:tcBorders>
              <w:left w:val="single" w:color="auto" w:sz="4" w:space="0"/>
              <w:right w:val="single" w:color="auto" w:sz="4" w:space="0"/>
            </w:tcBorders>
            <w:vAlign w:val="center"/>
          </w:tcPr>
          <w:p>
            <w:pPr>
              <w:widowControl/>
              <w:jc w:val="center"/>
              <w:rPr>
                <w:rStyle w:val="24"/>
                <w:rFonts w:eastAsia="方正仿宋_GBK"/>
                <w:b w:val="0"/>
                <w:bCs w:val="0"/>
                <w:color w:val="000000"/>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sz w:val="24"/>
              </w:rPr>
            </w:pPr>
            <w:r>
              <w:rPr>
                <w:rStyle w:val="24"/>
                <w:rFonts w:eastAsia="方正仿宋_GBK"/>
                <w:b w:val="0"/>
                <w:bCs w:val="0"/>
                <w:color w:val="000000"/>
                <w:sz w:val="24"/>
              </w:rPr>
              <w:t>单位工业增加值能源消耗降低（%）</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完成省、市要求</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完成省、市要求</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17</w:t>
            </w:r>
          </w:p>
        </w:tc>
        <w:tc>
          <w:tcPr>
            <w:tcW w:w="874" w:type="dxa"/>
            <w:vMerge w:val="continue"/>
            <w:tcBorders>
              <w:left w:val="single" w:color="auto" w:sz="4" w:space="0"/>
              <w:bottom w:val="single" w:color="auto" w:sz="4" w:space="0"/>
              <w:right w:val="single" w:color="auto" w:sz="4" w:space="0"/>
            </w:tcBorders>
            <w:vAlign w:val="center"/>
          </w:tcPr>
          <w:p>
            <w:pPr>
              <w:widowControl/>
              <w:jc w:val="center"/>
              <w:rPr>
                <w:rStyle w:val="24"/>
                <w:rFonts w:eastAsia="方正仿宋_GBK"/>
                <w:b w:val="0"/>
                <w:bCs w:val="0"/>
                <w:color w:val="000000"/>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sz w:val="24"/>
              </w:rPr>
            </w:pPr>
            <w:r>
              <w:rPr>
                <w:rStyle w:val="24"/>
                <w:rFonts w:eastAsia="方正仿宋_GBK"/>
                <w:b w:val="0"/>
                <w:bCs w:val="0"/>
                <w:color w:val="000000"/>
                <w:sz w:val="24"/>
              </w:rPr>
              <w:t>单位工业增加值用水量降低（%）</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完成省、市要求</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完成省、市要求</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18</w:t>
            </w:r>
          </w:p>
        </w:tc>
        <w:tc>
          <w:tcPr>
            <w:tcW w:w="874" w:type="dxa"/>
            <w:vMerge w:val="restart"/>
            <w:tcBorders>
              <w:left w:val="single" w:color="auto" w:sz="4" w:space="0"/>
              <w:right w:val="single" w:color="auto" w:sz="4" w:space="0"/>
            </w:tcBorders>
            <w:vAlign w:val="center"/>
          </w:tcPr>
          <w:p>
            <w:pPr>
              <w:widowControl/>
              <w:jc w:val="center"/>
              <w:rPr>
                <w:rStyle w:val="24"/>
                <w:rFonts w:eastAsia="方正仿宋_GBK"/>
                <w:b w:val="0"/>
                <w:bCs w:val="0"/>
                <w:color w:val="000000"/>
                <w:sz w:val="24"/>
              </w:rPr>
            </w:pPr>
            <w:r>
              <w:rPr>
                <w:rStyle w:val="24"/>
                <w:rFonts w:eastAsia="方正仿宋_GBK"/>
                <w:b w:val="0"/>
                <w:bCs w:val="0"/>
                <w:color w:val="000000"/>
                <w:sz w:val="24"/>
              </w:rPr>
              <w:t>改革开放</w:t>
            </w: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Style w:val="24"/>
                <w:rFonts w:eastAsia="方正仿宋_GBK"/>
                <w:b w:val="0"/>
                <w:bCs w:val="0"/>
                <w:color w:val="000000"/>
                <w:sz w:val="24"/>
              </w:rPr>
            </w:pPr>
            <w:r>
              <w:rPr>
                <w:rStyle w:val="24"/>
                <w:rFonts w:eastAsia="方正仿宋_GBK"/>
                <w:b w:val="0"/>
                <w:bCs w:val="0"/>
                <w:color w:val="000000"/>
                <w:sz w:val="24"/>
              </w:rPr>
              <w:t>新开工5亿元以上项目（个）</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6</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FF"/>
                <w:kern w:val="36"/>
                <w:sz w:val="24"/>
              </w:rPr>
            </w:pPr>
            <w:r>
              <w:rPr>
                <w:rFonts w:ascii="Times New Roman" w:hAnsi="Times New Roman" w:eastAsia="方正仿宋_GBK" w:cs="Times New Roman"/>
                <w:color w:val="0000FF"/>
                <w:kern w:val="36"/>
                <w:sz w:val="24"/>
              </w:rPr>
              <w:t>三年累计</w:t>
            </w:r>
            <w:r>
              <w:rPr>
                <w:rFonts w:hint="eastAsia" w:ascii="Times New Roman" w:hAnsi="Times New Roman" w:eastAsia="方正仿宋_GBK" w:cs="Times New Roman"/>
                <w:color w:val="0000FF"/>
                <w:kern w:val="36"/>
                <w:sz w:val="24"/>
                <w:lang w:val="en-US" w:eastAsia="zh-CN"/>
              </w:rPr>
              <w:t>30</w:t>
            </w:r>
            <w:r>
              <w:rPr>
                <w:rFonts w:ascii="Times New Roman" w:hAnsi="Times New Roman" w:eastAsia="方正仿宋_GBK" w:cs="Times New Roman"/>
                <w:color w:val="0000FF"/>
                <w:kern w:val="36"/>
                <w:sz w:val="24"/>
              </w:rPr>
              <w:t>个</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FF"/>
                <w:kern w:val="36"/>
                <w:sz w:val="24"/>
              </w:rPr>
            </w:pPr>
            <w:r>
              <w:rPr>
                <w:rFonts w:ascii="Times New Roman" w:hAnsi="Times New Roman" w:eastAsia="方正仿宋_GBK" w:cs="Times New Roman"/>
                <w:color w:val="0000FF"/>
                <w:kern w:val="36"/>
                <w:sz w:val="24"/>
              </w:rPr>
              <w:t>五年累计</w:t>
            </w:r>
            <w:r>
              <w:rPr>
                <w:rFonts w:hint="eastAsia" w:ascii="Times New Roman" w:hAnsi="Times New Roman" w:eastAsia="方正仿宋_GBK" w:cs="Times New Roman"/>
                <w:color w:val="0000FF"/>
                <w:kern w:val="36"/>
                <w:sz w:val="24"/>
                <w:lang w:val="en-US" w:eastAsia="zh-CN"/>
              </w:rPr>
              <w:t>50</w:t>
            </w:r>
            <w:r>
              <w:rPr>
                <w:rFonts w:ascii="Times New Roman" w:hAnsi="Times New Roman" w:eastAsia="方正仿宋_GBK" w:cs="Times New Roman"/>
                <w:color w:val="0000FF"/>
                <w:kern w:val="36"/>
                <w:sz w:val="24"/>
              </w:rPr>
              <w:t>个</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19</w:t>
            </w:r>
          </w:p>
        </w:tc>
        <w:tc>
          <w:tcPr>
            <w:tcW w:w="874" w:type="dxa"/>
            <w:vMerge w:val="continue"/>
            <w:tcBorders>
              <w:left w:val="single" w:color="auto" w:sz="4" w:space="0"/>
              <w:right w:val="single" w:color="auto" w:sz="4" w:space="0"/>
            </w:tcBorders>
            <w:vAlign w:val="center"/>
          </w:tcPr>
          <w:p>
            <w:pPr>
              <w:widowControl/>
              <w:jc w:val="center"/>
              <w:rPr>
                <w:rStyle w:val="24"/>
                <w:rFonts w:eastAsia="方正仿宋_GBK"/>
                <w:b w:val="0"/>
                <w:bCs w:val="0"/>
                <w:color w:val="000000"/>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注册外资实际到账（亿美元）</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1.11</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1.6</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2</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20</w:t>
            </w:r>
          </w:p>
        </w:tc>
        <w:tc>
          <w:tcPr>
            <w:tcW w:w="874" w:type="dxa"/>
            <w:vMerge w:val="continue"/>
            <w:tcBorders>
              <w:left w:val="single" w:color="auto" w:sz="4" w:space="0"/>
              <w:right w:val="single" w:color="auto" w:sz="4" w:space="0"/>
            </w:tcBorders>
            <w:vAlign w:val="center"/>
          </w:tcPr>
          <w:p>
            <w:pPr>
              <w:widowControl/>
              <w:jc w:val="center"/>
              <w:rPr>
                <w:rStyle w:val="24"/>
                <w:rFonts w:eastAsia="方正仿宋_GBK"/>
                <w:b w:val="0"/>
                <w:bCs w:val="0"/>
                <w:color w:val="000000"/>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外贸进出口总额（亿美元）</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12.5</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14</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16</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op w:val="nil"/>
              <w:left w:val="single" w:color="auto" w:sz="4" w:space="0"/>
              <w:bottom w:val="single" w:color="auto" w:sz="4" w:space="0"/>
              <w:right w:val="single" w:color="auto" w:sz="4" w:space="0"/>
            </w:tcBorders>
            <w:vAlign w:val="center"/>
          </w:tcPr>
          <w:p>
            <w:pPr>
              <w:pStyle w:val="22"/>
              <w:adjustRightInd w:val="0"/>
              <w:snapToGrid w:val="0"/>
              <w:spacing w:line="320" w:lineRule="exact"/>
              <w:ind w:firstLine="0" w:firstLineChars="0"/>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21</w:t>
            </w:r>
          </w:p>
        </w:tc>
        <w:tc>
          <w:tcPr>
            <w:tcW w:w="874" w:type="dxa"/>
            <w:vMerge w:val="continue"/>
            <w:tcBorders>
              <w:left w:val="single" w:color="auto" w:sz="4" w:space="0"/>
              <w:bottom w:val="single" w:color="auto" w:sz="4" w:space="0"/>
              <w:right w:val="single" w:color="auto" w:sz="4" w:space="0"/>
            </w:tcBorders>
            <w:vAlign w:val="center"/>
          </w:tcPr>
          <w:p>
            <w:pPr>
              <w:widowControl/>
              <w:jc w:val="center"/>
              <w:rPr>
                <w:rStyle w:val="24"/>
                <w:rFonts w:eastAsia="方正仿宋_GBK"/>
                <w:b w:val="0"/>
                <w:bCs w:val="0"/>
                <w:color w:val="000000"/>
                <w:sz w:val="24"/>
              </w:rPr>
            </w:pPr>
          </w:p>
        </w:tc>
        <w:tc>
          <w:tcPr>
            <w:tcW w:w="3101"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Style w:val="24"/>
                <w:rFonts w:eastAsia="方正仿宋_GBK"/>
                <w:b w:val="0"/>
                <w:bCs w:val="0"/>
                <w:color w:val="000000"/>
                <w:sz w:val="24"/>
              </w:rPr>
            </w:pPr>
            <w:r>
              <w:rPr>
                <w:rStyle w:val="24"/>
                <w:rFonts w:eastAsia="方正仿宋_GBK"/>
                <w:b w:val="0"/>
                <w:bCs w:val="0"/>
                <w:color w:val="000000"/>
                <w:sz w:val="24"/>
              </w:rPr>
              <w:t>全省县（市）营商环境综合排名</w:t>
            </w:r>
          </w:p>
        </w:tc>
        <w:tc>
          <w:tcPr>
            <w:tcW w:w="11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15</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前进2位</w:t>
            </w:r>
          </w:p>
        </w:tc>
        <w:tc>
          <w:tcPr>
            <w:tcW w:w="1159"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前进3位</w:t>
            </w:r>
          </w:p>
        </w:tc>
        <w:tc>
          <w:tcPr>
            <w:tcW w:w="1611"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仿宋_GBK" w:cs="Times New Roman"/>
                <w:color w:val="000000"/>
                <w:kern w:val="36"/>
                <w:sz w:val="24"/>
              </w:rPr>
            </w:pPr>
            <w:r>
              <w:rPr>
                <w:rFonts w:ascii="Times New Roman" w:hAnsi="Times New Roman" w:eastAsia="方正仿宋_GBK" w:cs="Times New Roman"/>
                <w:color w:val="000000"/>
                <w:kern w:val="36"/>
                <w:sz w:val="24"/>
              </w:rPr>
              <w:t>市发改委</w:t>
            </w:r>
          </w:p>
        </w:tc>
      </w:tr>
    </w:tbl>
    <w:p>
      <w:pPr>
        <w:spacing w:line="587" w:lineRule="exact"/>
        <w:rPr>
          <w:rFonts w:ascii="Times New Roman" w:hAnsi="Times New Roman" w:eastAsia="方正仿宋_GBK" w:cs="Times New Roman"/>
          <w:sz w:val="28"/>
          <w:szCs w:val="28"/>
        </w:rPr>
      </w:pPr>
    </w:p>
    <w:p>
      <w:pPr>
        <w:pStyle w:val="3"/>
        <w:keepNext/>
        <w:keepLines/>
        <w:widowControl/>
        <w:spacing w:before="120" w:beforeAutospacing="0" w:after="120" w:afterAutospacing="0"/>
        <w:ind w:firstLine="640" w:firstLineChars="200"/>
        <w:rPr>
          <w:rFonts w:hint="default" w:ascii="Times New Roman" w:hAnsi="Times New Roman" w:eastAsia="方正黑体_GBK"/>
          <w:b w:val="0"/>
          <w:sz w:val="32"/>
          <w:szCs w:val="44"/>
          <w:lang w:bidi="bo-CN"/>
        </w:rPr>
      </w:pPr>
      <w:bookmarkStart w:id="10" w:name="_Toc7091"/>
      <w:bookmarkStart w:id="11" w:name="_Toc28821"/>
      <w:r>
        <w:rPr>
          <w:rFonts w:hint="default" w:ascii="Times New Roman" w:hAnsi="Times New Roman" w:eastAsia="方正黑体_GBK"/>
          <w:b w:val="0"/>
          <w:sz w:val="32"/>
          <w:szCs w:val="44"/>
          <w:lang w:bidi="bo-CN"/>
        </w:rPr>
        <w:t>二、发展方向</w:t>
      </w:r>
      <w:bookmarkEnd w:id="10"/>
      <w:bookmarkEnd w:id="11"/>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坚持全链发展、三产融合，重点做大做强</w:t>
      </w:r>
      <w:r>
        <w:rPr>
          <w:rFonts w:ascii="Times New Roman" w:hAnsi="Times New Roman" w:eastAsia="黑体" w:cs="Times New Roman"/>
          <w:sz w:val="32"/>
          <w:szCs w:val="32"/>
        </w:rPr>
        <w:t>电子信息、高端装备、新材料、大健康</w:t>
      </w:r>
      <w:r>
        <w:rPr>
          <w:rFonts w:ascii="Times New Roman" w:hAnsi="Times New Roman" w:eastAsia="方正仿宋_GBK" w:cs="Times New Roman"/>
          <w:sz w:val="32"/>
          <w:szCs w:val="32"/>
        </w:rPr>
        <w:t>四大主导产业，</w:t>
      </w:r>
      <w:r>
        <w:rPr>
          <w:rFonts w:hint="eastAsia" w:ascii="Times New Roman" w:hAnsi="Times New Roman" w:eastAsia="方正仿宋_GBK" w:cs="Times New Roman"/>
          <w:sz w:val="32"/>
          <w:szCs w:val="32"/>
        </w:rPr>
        <w:t>努力</w:t>
      </w:r>
      <w:r>
        <w:rPr>
          <w:rFonts w:ascii="Times New Roman" w:hAnsi="Times New Roman" w:eastAsia="方正仿宋_GBK" w:cs="Times New Roman"/>
          <w:sz w:val="32"/>
          <w:szCs w:val="32"/>
        </w:rPr>
        <w:t>转型提升</w:t>
      </w:r>
      <w:r>
        <w:rPr>
          <w:rFonts w:ascii="Times New Roman" w:hAnsi="Times New Roman" w:eastAsia="黑体" w:cs="Times New Roman"/>
          <w:sz w:val="32"/>
          <w:szCs w:val="32"/>
        </w:rPr>
        <w:t>建材、纺织</w:t>
      </w:r>
      <w:r>
        <w:rPr>
          <w:rFonts w:ascii="Times New Roman" w:hAnsi="Times New Roman" w:eastAsia="方正仿宋_GBK" w:cs="Times New Roman"/>
          <w:sz w:val="32"/>
          <w:szCs w:val="32"/>
        </w:rPr>
        <w:t>两大传统优势产业，</w:t>
      </w:r>
      <w:r>
        <w:rPr>
          <w:rFonts w:hint="eastAsia" w:ascii="Times New Roman" w:hAnsi="Times New Roman" w:eastAsia="方正仿宋_GBK" w:cs="Times New Roman"/>
          <w:sz w:val="32"/>
          <w:szCs w:val="32"/>
        </w:rPr>
        <w:t>积极</w:t>
      </w:r>
      <w:r>
        <w:rPr>
          <w:rFonts w:ascii="Times New Roman" w:hAnsi="Times New Roman" w:eastAsia="方正仿宋_GBK" w:cs="Times New Roman"/>
          <w:sz w:val="32"/>
          <w:szCs w:val="32"/>
        </w:rPr>
        <w:t>培育发展N个特色</w:t>
      </w:r>
      <w:r>
        <w:rPr>
          <w:rFonts w:ascii="Times New Roman" w:hAnsi="Times New Roman" w:eastAsia="黑体" w:cs="Times New Roman"/>
          <w:sz w:val="32"/>
          <w:szCs w:val="32"/>
        </w:rPr>
        <w:t>制造服务业</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大力</w:t>
      </w:r>
      <w:r>
        <w:rPr>
          <w:rFonts w:ascii="Times New Roman" w:hAnsi="Times New Roman" w:eastAsia="方正仿宋_GBK" w:cs="Times New Roman"/>
          <w:sz w:val="32"/>
          <w:szCs w:val="32"/>
        </w:rPr>
        <w:t>推进</w:t>
      </w:r>
      <w:r>
        <w:rPr>
          <w:rFonts w:ascii="Times New Roman" w:hAnsi="Times New Roman" w:eastAsia="黑体" w:cs="Times New Roman"/>
          <w:sz w:val="32"/>
          <w:szCs w:val="32"/>
        </w:rPr>
        <w:t>现代农业“接二连三”</w:t>
      </w:r>
      <w:r>
        <w:rPr>
          <w:rFonts w:ascii="Times New Roman" w:hAnsi="Times New Roman" w:eastAsia="方正仿宋_GBK" w:cs="Times New Roman"/>
          <w:sz w:val="32"/>
          <w:szCs w:val="32"/>
        </w:rPr>
        <w:t>，构建具有核心竞争力的绿色智造产业体系。</w:t>
      </w:r>
    </w:p>
    <w:p>
      <w:pPr>
        <w:spacing w:line="58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rPr>
        <w:t>做大做强</w:t>
      </w:r>
      <w:r>
        <w:rPr>
          <w:rFonts w:ascii="Times New Roman" w:hAnsi="Times New Roman" w:eastAsia="方正楷体_GBK" w:cs="Times New Roman"/>
          <w:kern w:val="0"/>
          <w:sz w:val="32"/>
          <w:szCs w:val="32"/>
        </w:rPr>
        <w:t>四大主导产业</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以高端化、智能化、融合化为主要发展方向，以经济开发区、高新区和沿海经济区为主要发展载体，到2025年，实现四大主导产业全口径开票销售1700亿元。</w:t>
      </w:r>
      <w:r>
        <w:rPr>
          <w:rFonts w:ascii="Times New Roman" w:hAnsi="Times New Roman" w:eastAsia="黑体" w:cs="Times New Roman"/>
          <w:sz w:val="32"/>
          <w:szCs w:val="32"/>
        </w:rPr>
        <w:t>电子信息</w:t>
      </w:r>
      <w:r>
        <w:rPr>
          <w:rFonts w:ascii="Times New Roman" w:hAnsi="Times New Roman" w:eastAsia="方正仿宋_GBK" w:cs="Times New Roman"/>
          <w:sz w:val="32"/>
          <w:szCs w:val="32"/>
        </w:rPr>
        <w:t>重点发展智能终端、新一代通信设备、新型显示、半导体和人工智能等领域，由结构件、元器件制造向终端成品制造跨越，成为江苏沿海电子信息产业特色基地。</w:t>
      </w:r>
      <w:r>
        <w:rPr>
          <w:rFonts w:ascii="Times New Roman" w:hAnsi="Times New Roman" w:eastAsia="黑体" w:cs="Times New Roman"/>
          <w:sz w:val="32"/>
          <w:szCs w:val="32"/>
        </w:rPr>
        <w:t>高端装备</w:t>
      </w:r>
      <w:r>
        <w:rPr>
          <w:rFonts w:ascii="Times New Roman" w:hAnsi="Times New Roman" w:eastAsia="方正仿宋_GBK" w:cs="Times New Roman"/>
          <w:sz w:val="32"/>
          <w:szCs w:val="32"/>
        </w:rPr>
        <w:t>重点发展新能源装备、印刷包装装备、智能成套装备和智能机器人等领域，提升装备制造业整机配套和制造水平，形成“东台智造”核心支撑。</w:t>
      </w:r>
      <w:r>
        <w:rPr>
          <w:rFonts w:ascii="Times New Roman" w:hAnsi="Times New Roman" w:eastAsia="黑体" w:cs="Times New Roman"/>
          <w:sz w:val="32"/>
          <w:szCs w:val="32"/>
        </w:rPr>
        <w:t>新材料</w:t>
      </w:r>
      <w:r>
        <w:rPr>
          <w:rFonts w:ascii="Times New Roman" w:hAnsi="Times New Roman" w:eastAsia="方正仿宋_GBK" w:cs="Times New Roman"/>
          <w:sz w:val="32"/>
          <w:szCs w:val="32"/>
        </w:rPr>
        <w:t>重点发展特种金属材料、先进高分子及复合材料、特种玻璃和前沿新材料等领域，提升新材料产业发展层次和能级，建成国内有影响力的新材料制造基地。</w:t>
      </w:r>
      <w:r>
        <w:rPr>
          <w:rFonts w:ascii="Times New Roman" w:hAnsi="Times New Roman" w:eastAsia="黑体" w:cs="Times New Roman"/>
          <w:sz w:val="32"/>
          <w:szCs w:val="32"/>
        </w:rPr>
        <w:t>大健康</w:t>
      </w:r>
      <w:r>
        <w:rPr>
          <w:rFonts w:ascii="Times New Roman" w:hAnsi="Times New Roman" w:eastAsia="方正仿宋_GBK" w:cs="Times New Roman"/>
          <w:sz w:val="32"/>
          <w:szCs w:val="32"/>
        </w:rPr>
        <w:t>重点发展健康农产品、特色海产品、生物制品、功能性食品等领域，形成江苏海洋生物产业新高地，建成国家级健康农产品、特色海产品生产基地。</w:t>
      </w:r>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转型提升两大传统优势产业。</w:t>
      </w:r>
      <w:r>
        <w:rPr>
          <w:rFonts w:ascii="Times New Roman" w:hAnsi="Times New Roman" w:eastAsia="方正仿宋_GBK" w:cs="Times New Roman"/>
          <w:sz w:val="32"/>
          <w:szCs w:val="32"/>
        </w:rPr>
        <w:t>以绿色化、智能化、品牌化为主要发展方向，推进建材、纺织产业向高附加值提升、向品牌品质升级。</w:t>
      </w:r>
      <w:r>
        <w:rPr>
          <w:rFonts w:ascii="Times New Roman" w:hAnsi="Times New Roman" w:eastAsia="黑体" w:cs="Times New Roman"/>
          <w:sz w:val="32"/>
          <w:szCs w:val="32"/>
        </w:rPr>
        <w:t>绿色建材</w:t>
      </w:r>
      <w:r>
        <w:rPr>
          <w:rFonts w:ascii="Times New Roman" w:hAnsi="Times New Roman" w:eastAsia="方正仿宋_GBK" w:cs="Times New Roman"/>
          <w:sz w:val="32"/>
          <w:szCs w:val="32"/>
        </w:rPr>
        <w:t>重点发展绿色水泥、高性能混凝土和特种玻璃产业，鼓励建材企业使用粉煤灰、工业废渣、尾矿渣等作为原料或水泥混合材。推进重点企业淘汰落后产能，加快推进绿色建材产品认证和应用推广，加强新型胶凝材料、低碳混凝土、装配式建筑部品部件等低碳建材产品研发应用，推进生产过程全流程数字化、网络化、智能化生产管控。</w:t>
      </w:r>
      <w:r>
        <w:rPr>
          <w:rFonts w:ascii="Times New Roman" w:hAnsi="Times New Roman" w:eastAsia="黑体" w:cs="Times New Roman"/>
          <w:sz w:val="32"/>
          <w:szCs w:val="32"/>
        </w:rPr>
        <w:t>高端纺织</w:t>
      </w:r>
      <w:r>
        <w:rPr>
          <w:rFonts w:ascii="Times New Roman" w:hAnsi="Times New Roman" w:eastAsia="方正仿宋_GBK" w:cs="Times New Roman"/>
          <w:sz w:val="32"/>
          <w:szCs w:val="32"/>
        </w:rPr>
        <w:t>重点发展高档服装、针织等终端纺织品，培育发展家用纺织品和工业纺织品，推动茧丝绸、桑蚕丝等新型高档面料产品向下游床上用品、医用缝合线、丝素、丝胶等领域拓展，强化创意设计和品牌营销。推动现有纺纱、织造工艺技术改造升级，推进机器换人，提升纺织装备的数字化、智能化、自主化技术水平。</w:t>
      </w:r>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kern w:val="0"/>
          <w:sz w:val="32"/>
          <w:szCs w:val="32"/>
        </w:rPr>
        <w:t>培育发展N个特色制造服务业。</w:t>
      </w:r>
      <w:r>
        <w:rPr>
          <w:rFonts w:ascii="Times New Roman" w:hAnsi="Times New Roman" w:eastAsia="方正仿宋_GBK" w:cs="Times New Roman"/>
          <w:sz w:val="32"/>
          <w:szCs w:val="32"/>
        </w:rPr>
        <w:t>坚持专业化、融合化和高端化方向，培育发展面向制造业的生产性服务业，支撑全市产业绿色智造转型升级和高质量发展。</w:t>
      </w:r>
      <w:r>
        <w:rPr>
          <w:rFonts w:ascii="Times New Roman" w:hAnsi="Times New Roman" w:eastAsia="黑体" w:cs="Times New Roman"/>
          <w:sz w:val="32"/>
          <w:szCs w:val="32"/>
        </w:rPr>
        <w:t>科创服务</w:t>
      </w:r>
      <w:r>
        <w:rPr>
          <w:rFonts w:ascii="Times New Roman" w:hAnsi="Times New Roman" w:eastAsia="方正仿宋_GBK" w:cs="Times New Roman"/>
          <w:sz w:val="32"/>
          <w:szCs w:val="32"/>
        </w:rPr>
        <w:t>重点发展研发设计、创业孵化、技术转移、检验检测、认证认可、计量标准、知识产权等全产业链服务，积极发展工业设计和创意设计，实现绿色智造“设计+”价值提升。</w:t>
      </w:r>
      <w:r>
        <w:rPr>
          <w:rFonts w:ascii="Times New Roman" w:hAnsi="Times New Roman" w:eastAsia="黑体" w:cs="Times New Roman"/>
          <w:sz w:val="32"/>
          <w:szCs w:val="32"/>
        </w:rPr>
        <w:t>现代物流</w:t>
      </w:r>
      <w:r>
        <w:rPr>
          <w:rFonts w:ascii="Times New Roman" w:hAnsi="Times New Roman" w:eastAsia="方正仿宋_GBK" w:cs="Times New Roman"/>
          <w:sz w:val="32"/>
          <w:szCs w:val="32"/>
        </w:rPr>
        <w:t>重点发展工业物流、冷链物流、电商物流、应急物流等物流业态，积极发展供应链物流、快捷物流、精益物流等物流新业态新模式，加快整合中小物流企业和资源，合理布局建设一批现代物流园区和物流基地。</w:t>
      </w:r>
      <w:r>
        <w:rPr>
          <w:rFonts w:ascii="Times New Roman" w:hAnsi="Times New Roman" w:eastAsia="黑体" w:cs="Times New Roman"/>
          <w:sz w:val="32"/>
          <w:szCs w:val="32"/>
        </w:rPr>
        <w:t>信息服务</w:t>
      </w:r>
      <w:r>
        <w:rPr>
          <w:rFonts w:ascii="Times New Roman" w:hAnsi="Times New Roman" w:eastAsia="方正仿宋_GBK" w:cs="Times New Roman"/>
          <w:sz w:val="32"/>
          <w:szCs w:val="32"/>
          <w:lang w:val="zh-CN" w:eastAsia="zh-Hans"/>
        </w:rPr>
        <w:t>加快工业互联网、</w:t>
      </w:r>
      <w:r>
        <w:rPr>
          <w:rFonts w:ascii="Times New Roman" w:hAnsi="Times New Roman" w:eastAsia="方正仿宋_GBK" w:cs="Times New Roman"/>
          <w:sz w:val="32"/>
          <w:szCs w:val="32"/>
        </w:rPr>
        <w:t>大数据、云计算、物联网、人工智能等信息服务企业招引和平台建设</w:t>
      </w:r>
      <w:r>
        <w:rPr>
          <w:rFonts w:ascii="Times New Roman" w:hAnsi="Times New Roman" w:eastAsia="方正仿宋_GBK" w:cs="Times New Roman"/>
          <w:sz w:val="32"/>
          <w:szCs w:val="32"/>
          <w:lang w:val="zh-CN" w:eastAsia="zh-Hans"/>
        </w:rPr>
        <w:t>，鼓励发展工业大数据分析、</w:t>
      </w:r>
      <w:r>
        <w:rPr>
          <w:rFonts w:ascii="Times New Roman" w:hAnsi="Times New Roman" w:eastAsia="方正仿宋_GBK" w:cs="Times New Roman"/>
          <w:sz w:val="32"/>
          <w:szCs w:val="32"/>
        </w:rPr>
        <w:t>工业互联网应用</w:t>
      </w:r>
      <w:r>
        <w:rPr>
          <w:rFonts w:ascii="Times New Roman" w:hAnsi="Times New Roman" w:eastAsia="方正仿宋_GBK" w:cs="Times New Roman"/>
          <w:sz w:val="32"/>
          <w:szCs w:val="32"/>
          <w:lang w:val="zh-CN" w:eastAsia="zh-Hans"/>
        </w:rPr>
        <w:t>，推动智能科技与</w:t>
      </w:r>
      <w:r>
        <w:rPr>
          <w:rFonts w:ascii="Times New Roman" w:hAnsi="Times New Roman" w:eastAsia="方正仿宋_GBK" w:cs="Times New Roman"/>
          <w:sz w:val="32"/>
          <w:szCs w:val="32"/>
        </w:rPr>
        <w:t>制造</w:t>
      </w:r>
      <w:r>
        <w:rPr>
          <w:rFonts w:ascii="Times New Roman" w:hAnsi="Times New Roman" w:eastAsia="方正仿宋_GBK" w:cs="Times New Roman"/>
          <w:sz w:val="32"/>
          <w:szCs w:val="32"/>
          <w:lang w:val="zh-CN" w:eastAsia="zh-Hans"/>
        </w:rPr>
        <w:t>应用场景相结合，支持提供</w:t>
      </w:r>
      <w:r>
        <w:rPr>
          <w:rFonts w:ascii="Times New Roman" w:hAnsi="Times New Roman" w:eastAsia="方正仿宋_GBK" w:cs="Times New Roman"/>
          <w:sz w:val="32"/>
          <w:szCs w:val="32"/>
        </w:rPr>
        <w:t>信息化智能化整体</w:t>
      </w:r>
      <w:r>
        <w:rPr>
          <w:rFonts w:ascii="Times New Roman" w:hAnsi="Times New Roman" w:eastAsia="方正仿宋_GBK" w:cs="Times New Roman"/>
          <w:sz w:val="32"/>
          <w:szCs w:val="32"/>
          <w:lang w:val="zh-CN" w:eastAsia="zh-Hans"/>
        </w:rPr>
        <w:t>解决方案。</w:t>
      </w:r>
      <w:r>
        <w:rPr>
          <w:rFonts w:ascii="Times New Roman" w:hAnsi="Times New Roman" w:eastAsia="黑体" w:cs="Times New Roman"/>
          <w:sz w:val="32"/>
          <w:szCs w:val="32"/>
        </w:rPr>
        <w:t>金融商务</w:t>
      </w:r>
      <w:r>
        <w:rPr>
          <w:rFonts w:ascii="Times New Roman" w:hAnsi="Times New Roman" w:eastAsia="方正仿宋_GBK" w:cs="Times New Roman"/>
          <w:sz w:val="32"/>
          <w:szCs w:val="32"/>
        </w:rPr>
        <w:t>重点发展科技金融、绿色金融、金融租赁、信用保险、上市服务等金融服务，大力发展法律法务、会计审计、税务服务、人力资源、评估服务和工程咨询等商务服务，推动楼宇经济向专业化、集聚化、高端化发展。</w:t>
      </w:r>
    </w:p>
    <w:p>
      <w:pPr>
        <w:spacing w:line="587" w:lineRule="exact"/>
        <w:ind w:firstLine="640" w:firstLineChars="200"/>
        <w:rPr>
          <w:rFonts w:ascii="Times New Roman" w:hAnsi="Times New Roman" w:eastAsia="方正仿宋_GBK" w:cs="Times New Roman"/>
          <w:sz w:val="32"/>
          <w:szCs w:val="32"/>
        </w:rPr>
      </w:pPr>
      <w:bookmarkStart w:id="12" w:name="_Toc15783"/>
      <w:bookmarkStart w:id="13" w:name="_Toc28514"/>
      <w:r>
        <w:rPr>
          <w:rFonts w:hint="eastAsia" w:ascii="Times New Roman" w:hAnsi="Times New Roman" w:eastAsia="方正楷体_GBK" w:cs="Times New Roman"/>
          <w:kern w:val="0"/>
          <w:sz w:val="32"/>
          <w:szCs w:val="32"/>
        </w:rPr>
        <w:t>大力</w:t>
      </w:r>
      <w:r>
        <w:rPr>
          <w:rFonts w:ascii="Times New Roman" w:hAnsi="Times New Roman" w:eastAsia="方正楷体_GBK" w:cs="Times New Roman"/>
          <w:kern w:val="0"/>
          <w:sz w:val="32"/>
          <w:szCs w:val="32"/>
        </w:rPr>
        <w:t>推进现代农业“接二连三”融合发展</w:t>
      </w:r>
      <w:r>
        <w:rPr>
          <w:rFonts w:ascii="Times New Roman" w:hAnsi="Times New Roman" w:eastAsia="方正仿宋_GBK" w:cs="Times New Roman"/>
          <w:sz w:val="32"/>
          <w:szCs w:val="32"/>
        </w:rPr>
        <w:t>。在稳定粮食和蔬菜等重要农产品供给的基础上，以现代农业园区建设为引领，巩固壮大瓜菜、畜禽、水产等主导特色产业。以沿海农产品加工集中区、三仓绿色食品工业园为依托，延长农产品精深加工链和冷藏物流链。打造农业农村大数据中心，充分运用大数据、云计算、人工智能等技术，实现规模设施农业物联网应用全覆盖。探索农产品推介会、大型平台合作营销、网络直播等多种农产品推广模式，提升中高端市场占有率。到2025年，全市农业加工业产值与农业产值比达3.3:1。</w:t>
      </w:r>
    </w:p>
    <w:p>
      <w:pPr>
        <w:pStyle w:val="3"/>
        <w:keepNext/>
        <w:keepLines/>
        <w:widowControl/>
        <w:spacing w:before="120" w:beforeAutospacing="0" w:after="120" w:afterAutospacing="0"/>
        <w:ind w:firstLine="640" w:firstLineChars="200"/>
        <w:rPr>
          <w:rFonts w:hint="default" w:ascii="Times New Roman" w:hAnsi="Times New Roman" w:eastAsia="方正黑体_GBK"/>
          <w:b w:val="0"/>
          <w:sz w:val="32"/>
          <w:szCs w:val="44"/>
          <w:lang w:bidi="bo-CN"/>
        </w:rPr>
      </w:pPr>
      <w:r>
        <w:rPr>
          <w:rFonts w:hint="default" w:ascii="Times New Roman" w:hAnsi="Times New Roman" w:eastAsia="方正黑体_GBK"/>
          <w:b w:val="0"/>
          <w:sz w:val="32"/>
          <w:szCs w:val="44"/>
          <w:lang w:bidi="bo-CN"/>
        </w:rPr>
        <w:t>三、主要任务</w:t>
      </w:r>
      <w:bookmarkEnd w:id="12"/>
      <w:bookmarkEnd w:id="13"/>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14" w:name="_Toc11142"/>
      <w:r>
        <w:rPr>
          <w:rStyle w:val="44"/>
          <w:rFonts w:hint="default" w:ascii="Times New Roman" w:hAnsi="Times New Roman" w:eastAsia="方正楷体_GBK"/>
          <w:b w:val="0"/>
          <w:bCs/>
          <w:spacing w:val="8"/>
          <w:kern w:val="0"/>
          <w:sz w:val="32"/>
          <w:szCs w:val="20"/>
          <w:lang w:bidi="bo-CN"/>
        </w:rPr>
        <w:t>（一）产业布局优化行动</w:t>
      </w:r>
      <w:bookmarkEnd w:id="14"/>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资源环境承载能力为刚性约束条件，贯彻主体功能区发展理念，落实全市产业发展“一盘棋”要求，强化因地制宜、分工协作、有序竞争的差异化特色化发展引导，构建“一主、一副、一轴”的高效永续产业发展新空间格局。</w:t>
      </w:r>
    </w:p>
    <w:p>
      <w:pPr>
        <w:spacing w:line="587"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楷体_GBK" w:cs="Times New Roman"/>
          <w:sz w:val="32"/>
          <w:szCs w:val="32"/>
        </w:rPr>
        <w:t>1、全面提升中心城区首位度。</w:t>
      </w:r>
      <w:r>
        <w:rPr>
          <w:rFonts w:ascii="Times New Roman" w:hAnsi="Times New Roman" w:eastAsia="方正仿宋_GBK" w:cs="Times New Roman"/>
          <w:sz w:val="32"/>
          <w:szCs w:val="32"/>
        </w:rPr>
        <w:t>由主城区、经济开发区、 高新区、西溪景区、城南片区组成，精准实施城市更新行动，全面增强科创策源、</w:t>
      </w:r>
      <w:r>
        <w:rPr>
          <w:rFonts w:hint="eastAsia" w:ascii="Times New Roman" w:hAnsi="Times New Roman" w:eastAsia="方正仿宋_GBK" w:cs="Times New Roman"/>
          <w:sz w:val="32"/>
          <w:szCs w:val="32"/>
        </w:rPr>
        <w:t>金融集聚、</w:t>
      </w:r>
      <w:r>
        <w:rPr>
          <w:rFonts w:ascii="Times New Roman" w:hAnsi="Times New Roman" w:eastAsia="方正仿宋_GBK" w:cs="Times New Roman"/>
          <w:sz w:val="32"/>
          <w:szCs w:val="32"/>
        </w:rPr>
        <w:t>开放窗口、产业支撑等整体功能，不断提升中心城区的绿色智造产业密度、高度和强度。聚焦产城融合、“两业”融合，推动经济开发区、高新区向城市综合功能区转型，完善城南片区都市居住、高端教育、高品质医疗等服务配套，特色引导西溪景区“城市休闲客厅”建设，加快高铁组团金融商务、信息科技等生产性服务业发展，构建“一城四区”融合发展格局。</w:t>
      </w:r>
      <w:r>
        <w:rPr>
          <w:rFonts w:ascii="Times" w:hAnsi="Times" w:eastAsia="方正楷体_GBK" w:cs="Times New Roman"/>
          <w:color w:val="0000FF"/>
          <w:sz w:val="32"/>
          <w:szCs w:val="32"/>
        </w:rPr>
        <w:t>（市发改委</w:t>
      </w:r>
      <w:r>
        <w:rPr>
          <w:rFonts w:hint="eastAsia" w:ascii="Times" w:hAnsi="Times" w:eastAsia="方正楷体_GBK" w:cs="Times New Roman"/>
          <w:color w:val="0000FF"/>
          <w:sz w:val="32"/>
          <w:szCs w:val="32"/>
          <w:lang w:eastAsia="zh-CN"/>
        </w:rPr>
        <w:t>、市教育局、市科技局、市工信局、</w:t>
      </w:r>
      <w:r>
        <w:rPr>
          <w:rFonts w:ascii="Times" w:hAnsi="Times" w:eastAsia="方正楷体_GBK" w:cs="Times New Roman"/>
          <w:color w:val="0000FF"/>
          <w:sz w:val="32"/>
          <w:szCs w:val="32"/>
        </w:rPr>
        <w:t>市自规局、市住建局</w:t>
      </w:r>
      <w:r>
        <w:rPr>
          <w:rFonts w:hint="eastAsia" w:ascii="Times" w:hAnsi="Times" w:eastAsia="方正楷体_GBK" w:cs="Times New Roman"/>
          <w:color w:val="0000FF"/>
          <w:sz w:val="32"/>
          <w:szCs w:val="32"/>
          <w:lang w:eastAsia="zh-CN"/>
        </w:rPr>
        <w:t>、市商务局按职责分工负责。以下均需各镇区落实，不再列出</w:t>
      </w:r>
      <w:r>
        <w:rPr>
          <w:rFonts w:ascii="Times" w:hAnsi="Times" w:eastAsia="方正楷体_GBK" w:cs="Times New Roman"/>
          <w:color w:val="0000FF"/>
          <w:sz w:val="32"/>
          <w:szCs w:val="32"/>
        </w:rPr>
        <w:t>）</w:t>
      </w:r>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2、高标准建设弶港城市副中心</w:t>
      </w:r>
      <w:r>
        <w:rPr>
          <w:rFonts w:ascii="Times New Roman" w:hAnsi="Times New Roman" w:eastAsia="方正仿宋_GBK" w:cs="Times New Roman"/>
          <w:sz w:val="32"/>
          <w:szCs w:val="32"/>
        </w:rPr>
        <w:t>。围绕“世界遗产地、生态康养城”发展定位，加快基础与公共服务设施补短强弱，强化滨海风情和地方特色塑造，打造长三角区域沿海高质量发展重要节点城市。放大“世界遗产”品牌优势，推动“世遗+旅游”“世遗+文化”“世遗+保护”协同发展，加快“健康+服务”“健康+科技”“健康+生活”深度融合，打造国际知名的生态康养旅游目的地。优化“双心双轴三点四片”空间格局，推动产业邻里中心、上海瑞金医院东台院区、华东疗养院东台院区、康养基地</w:t>
      </w:r>
      <w:r>
        <w:rPr>
          <w:rFonts w:hint="eastAsia" w:ascii="Times New Roman" w:hAnsi="Times New Roman" w:eastAsia="方正仿宋_GBK" w:cs="Times New Roman"/>
          <w:sz w:val="32"/>
          <w:szCs w:val="32"/>
        </w:rPr>
        <w:t>服务中心</w:t>
      </w:r>
      <w:r>
        <w:rPr>
          <w:rFonts w:ascii="Times New Roman" w:hAnsi="Times New Roman" w:eastAsia="方正仿宋_GBK" w:cs="Times New Roman"/>
          <w:sz w:val="32"/>
          <w:szCs w:val="32"/>
        </w:rPr>
        <w:t>、自行车轮滑基地等重大项目开工建设。有序推进老镇区有机更新，不断提升空间承载力。</w:t>
      </w:r>
      <w:r>
        <w:rPr>
          <w:rFonts w:ascii="Times" w:hAnsi="Times" w:eastAsia="方正楷体_GBK" w:cs="Times New Roman"/>
          <w:sz w:val="32"/>
          <w:szCs w:val="32"/>
        </w:rPr>
        <w:t>（市发改委、市住建局、</w:t>
      </w:r>
      <w:r>
        <w:rPr>
          <w:rFonts w:hint="eastAsia" w:ascii="Times" w:hAnsi="Times" w:eastAsia="方正楷体_GBK" w:cs="Times New Roman"/>
          <w:color w:val="0000FF"/>
          <w:sz w:val="32"/>
          <w:szCs w:val="32"/>
          <w:lang w:eastAsia="zh-CN"/>
        </w:rPr>
        <w:t>市文广旅局、</w:t>
      </w:r>
      <w:r>
        <w:rPr>
          <w:rFonts w:ascii="Times" w:hAnsi="Times" w:eastAsia="方正楷体_GBK" w:cs="Times New Roman"/>
          <w:color w:val="0000FF"/>
          <w:sz w:val="32"/>
          <w:szCs w:val="32"/>
        </w:rPr>
        <w:t>市卫健委</w:t>
      </w:r>
      <w:r>
        <w:rPr>
          <w:rFonts w:hint="eastAsia" w:ascii="Times" w:hAnsi="Times" w:eastAsia="方正楷体_GBK" w:cs="Times New Roman"/>
          <w:color w:val="0000FF"/>
          <w:sz w:val="32"/>
          <w:szCs w:val="32"/>
          <w:lang w:eastAsia="zh-CN"/>
        </w:rPr>
        <w:t>按职责分工负责</w:t>
      </w:r>
      <w:r>
        <w:rPr>
          <w:rFonts w:ascii="Times" w:hAnsi="Times" w:eastAsia="方正楷体_GBK" w:cs="Times New Roman"/>
          <w:sz w:val="32"/>
          <w:szCs w:val="32"/>
        </w:rPr>
        <w:t>）</w:t>
      </w:r>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3、特色打造沿S352省道产业走廊。</w:t>
      </w:r>
      <w:r>
        <w:rPr>
          <w:rFonts w:ascii="Times New Roman" w:hAnsi="Times New Roman" w:eastAsia="方正仿宋_GBK" w:cs="Times New Roman"/>
          <w:sz w:val="32"/>
          <w:szCs w:val="32"/>
        </w:rPr>
        <w:t>突出陆海统筹，加强流通、市场、制造等向该轴线节点汇聚，促进内陆城镇发展和沿海开放发展相互联动，带动全市整体发展。联动经济开发区、高新区、沿海经济区、国家现代农业产业园等产业载体平台，协同推动“接二连三”发展，着力发展高端装备、新材料、大健康、农业精深加工等产业。加快东兴高速东台段</w:t>
      </w:r>
      <w:r>
        <w:rPr>
          <w:rFonts w:hint="eastAsia" w:ascii="Times New Roman" w:hAnsi="Times New Roman" w:eastAsia="方正仿宋_GBK" w:cs="Times New Roman"/>
          <w:sz w:val="32"/>
          <w:szCs w:val="32"/>
        </w:rPr>
        <w:t>及互通工程建设，开展</w:t>
      </w:r>
      <w:r>
        <w:rPr>
          <w:rFonts w:ascii="Times New Roman" w:hAnsi="Times New Roman" w:eastAsia="方正仿宋_GBK" w:cs="Times New Roman"/>
          <w:sz w:val="32"/>
          <w:szCs w:val="32"/>
        </w:rPr>
        <w:t>临海高速东台段、张皋过江高速延伸至东台段</w:t>
      </w:r>
      <w:r>
        <w:rPr>
          <w:rFonts w:hint="eastAsia" w:ascii="Times New Roman" w:hAnsi="Times New Roman" w:eastAsia="方正仿宋_GBK" w:cs="Times New Roman"/>
          <w:sz w:val="32"/>
          <w:szCs w:val="32"/>
        </w:rPr>
        <w:t>前期研究</w:t>
      </w:r>
      <w:r>
        <w:rPr>
          <w:rFonts w:ascii="Times New Roman" w:hAnsi="Times New Roman" w:eastAsia="方正仿宋_GBK" w:cs="Times New Roman"/>
          <w:sz w:val="32"/>
          <w:szCs w:val="32"/>
        </w:rPr>
        <w:t>，进一步打通内陆与沿海通道。</w:t>
      </w:r>
      <w:r>
        <w:rPr>
          <w:rFonts w:ascii="Times" w:hAnsi="Times" w:eastAsia="方正楷体_GBK" w:cs="Times New Roman"/>
          <w:sz w:val="32"/>
          <w:szCs w:val="32"/>
        </w:rPr>
        <w:t>（市发改委</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市交通局</w:t>
      </w:r>
      <w:r>
        <w:rPr>
          <w:rFonts w:hint="eastAsia" w:ascii="Times" w:hAnsi="Times" w:eastAsia="方正楷体_GBK" w:cs="Times New Roman"/>
          <w:color w:val="0000FF"/>
          <w:sz w:val="32"/>
          <w:szCs w:val="32"/>
          <w:lang w:eastAsia="zh-CN"/>
        </w:rPr>
        <w:t>、市农业农村局按职责分工负责</w:t>
      </w:r>
      <w:r>
        <w:rPr>
          <w:rFonts w:ascii="Times" w:hAnsi="Times" w:eastAsia="方正楷体_GBK" w:cs="Times New Roman"/>
          <w:sz w:val="32"/>
          <w:szCs w:val="32"/>
        </w:rPr>
        <w:t>）</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15" w:name="_Toc12835"/>
      <w:r>
        <w:rPr>
          <w:rStyle w:val="44"/>
          <w:rFonts w:hint="default" w:ascii="Times New Roman" w:hAnsi="Times New Roman" w:eastAsia="方正楷体_GBK"/>
          <w:b w:val="0"/>
          <w:bCs/>
          <w:spacing w:val="8"/>
          <w:kern w:val="0"/>
          <w:sz w:val="32"/>
          <w:szCs w:val="20"/>
          <w:lang w:bidi="bo-CN"/>
        </w:rPr>
        <w:t>（二）载体平台建设行动</w:t>
      </w:r>
      <w:bookmarkEnd w:id="15"/>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突出重大载体平台在产业培育、资源集聚、改革创新等方面的主阵地、主战场作用，加快打造高能级载体平台，推动现有载体平台功能提升，构建功能明确、特色鲜明、运行高效、支撑有力的载体平台体系。</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sz w:val="32"/>
          <w:szCs w:val="32"/>
        </w:rPr>
        <w:t>4</w:t>
      </w:r>
      <w:r>
        <w:rPr>
          <w:rFonts w:ascii="Times New Roman" w:hAnsi="Times New Roman" w:eastAsia="方正楷体_GBK" w:cs="Times New Roman"/>
          <w:sz w:val="32"/>
          <w:szCs w:val="32"/>
        </w:rPr>
        <w:t>、精准优化产业园区功能定位。</w:t>
      </w:r>
      <w:r>
        <w:rPr>
          <w:rFonts w:ascii="Times New Roman" w:hAnsi="Times New Roman" w:eastAsia="方正仿宋_GBK" w:cs="Times New Roman"/>
          <w:sz w:val="32"/>
          <w:szCs w:val="32"/>
        </w:rPr>
        <w:t>引导省级以上园区“大而强”、市级园区“专而精”发展。经济开发区放大产业基础优势，重点发展电子信息、新材料、智能装备，积极拓展电子商务、科技孵化、数字经济等新业态，打造长三角重要的新兴产业拓展区，到2025年全口径工业开票突破1000亿元。高新区突出“高”“新”发展导向，重点发展</w:t>
      </w:r>
      <w:r>
        <w:rPr>
          <w:rFonts w:hint="eastAsia" w:ascii="Times New Roman" w:hAnsi="Times New Roman" w:eastAsia="方正仿宋_GBK" w:cs="Times New Roman"/>
          <w:sz w:val="32"/>
          <w:szCs w:val="32"/>
          <w:lang w:eastAsia="zh-CN"/>
        </w:rPr>
        <w:t>半导体、智能装备产业</w:t>
      </w:r>
      <w:r>
        <w:rPr>
          <w:rFonts w:ascii="Times New Roman" w:hAnsi="Times New Roman" w:eastAsia="方正仿宋_GBK" w:cs="Times New Roman"/>
          <w:sz w:val="32"/>
          <w:szCs w:val="32"/>
        </w:rPr>
        <w:t>，大力发展</w:t>
      </w:r>
      <w:r>
        <w:rPr>
          <w:rFonts w:hint="eastAsia" w:ascii="Times New Roman" w:hAnsi="Times New Roman" w:eastAsia="方正仿宋_GBK" w:cs="Times New Roman"/>
          <w:sz w:val="32"/>
          <w:szCs w:val="32"/>
          <w:lang w:eastAsia="zh-CN"/>
        </w:rPr>
        <w:t>科创文创</w:t>
      </w:r>
      <w:r>
        <w:rPr>
          <w:rFonts w:ascii="Times New Roman" w:hAnsi="Times New Roman" w:eastAsia="方正仿宋_GBK" w:cs="Times New Roman"/>
          <w:sz w:val="32"/>
          <w:szCs w:val="32"/>
        </w:rPr>
        <w:t>服务等生产性服务业，打造全省“两业融合”发展示范区，到2025年全口径工业开票突破550亿元。沿海经济区突出海洋经济、绿色经济特色，重点发展大健康、新能源装备</w:t>
      </w:r>
      <w:r>
        <w:rPr>
          <w:rFonts w:hint="eastAsia" w:ascii="Times New Roman" w:hAnsi="Times New Roman" w:eastAsia="方正仿宋_GBK" w:cs="Times New Roman"/>
          <w:sz w:val="32"/>
          <w:szCs w:val="32"/>
        </w:rPr>
        <w:t>制造及应用</w:t>
      </w:r>
      <w:r>
        <w:rPr>
          <w:rFonts w:ascii="Times New Roman" w:hAnsi="Times New Roman" w:eastAsia="方正仿宋_GBK" w:cs="Times New Roman"/>
          <w:sz w:val="32"/>
          <w:szCs w:val="32"/>
        </w:rPr>
        <w:t>产业，打造沿海高质量发展增长极，到2025年全口径工业开票超400亿元。</w:t>
      </w:r>
      <w:r>
        <w:rPr>
          <w:rFonts w:ascii="Times" w:hAnsi="Times" w:eastAsia="方正楷体_GBK" w:cs="Times New Roman"/>
          <w:sz w:val="32"/>
          <w:szCs w:val="32"/>
        </w:rPr>
        <w:t>（</w:t>
      </w:r>
      <w:r>
        <w:rPr>
          <w:rFonts w:hint="eastAsia" w:ascii="Times" w:hAnsi="Times" w:eastAsia="方正楷体_GBK" w:cs="Times New Roman"/>
          <w:color w:val="0000FF"/>
          <w:sz w:val="32"/>
          <w:szCs w:val="32"/>
          <w:lang w:eastAsia="zh-CN"/>
        </w:rPr>
        <w:t>市工信局、</w:t>
      </w:r>
      <w:r>
        <w:rPr>
          <w:rFonts w:ascii="Times" w:hAnsi="Times" w:eastAsia="方正楷体_GBK" w:cs="Times New Roman"/>
          <w:color w:val="0000FF"/>
          <w:sz w:val="32"/>
          <w:szCs w:val="32"/>
        </w:rPr>
        <w:t>市商务局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sz w:val="32"/>
          <w:szCs w:val="32"/>
        </w:rPr>
        <w:t>5</w:t>
      </w:r>
      <w:r>
        <w:rPr>
          <w:rFonts w:ascii="Times New Roman" w:hAnsi="Times New Roman" w:eastAsia="方正楷体_GBK" w:cs="Times New Roman"/>
          <w:sz w:val="32"/>
          <w:szCs w:val="32"/>
        </w:rPr>
        <w:t>、加强高能级载体平台打造。</w:t>
      </w:r>
      <w:r>
        <w:rPr>
          <w:rFonts w:ascii="Times New Roman" w:hAnsi="Times New Roman" w:eastAsia="方正仿宋_GBK" w:cs="Times New Roman"/>
          <w:sz w:val="32"/>
          <w:szCs w:val="32"/>
        </w:rPr>
        <w:t>抓好产业园区“等级创建”，支持经济开发区创建国家级经济技术开发区，高新区创成省级高新区，沿海经济区创成盐城市4A级园区。强化高能级服务业集聚区建设，支持西溪景区创建省级夜间文旅消费集聚区，科技服务业集聚区创建省级现代服务业高质量发展集聚示范区</w:t>
      </w:r>
      <w:r>
        <w:rPr>
          <w:rFonts w:hint="eastAsia" w:ascii="Times New Roman" w:hAnsi="Times New Roman" w:eastAsia="方正仿宋_GBK" w:cs="Times New Roman"/>
          <w:sz w:val="32"/>
          <w:szCs w:val="32"/>
        </w:rPr>
        <w:t>，建设发展金融商务集聚区</w:t>
      </w:r>
      <w:r>
        <w:rPr>
          <w:rFonts w:ascii="Times New Roman" w:hAnsi="Times New Roman" w:eastAsia="方正仿宋_GBK" w:cs="Times New Roman"/>
          <w:sz w:val="32"/>
          <w:szCs w:val="32"/>
        </w:rPr>
        <w:t>。创设跨境电商产业园，打造省级跨境电商示范园区。加快生产性和生活性物流园建设，创建省级示范物流园区。面向绿色智造重点产业、关键领域，加快谋划一批“新而活、特而专”的高能级战略平台。</w:t>
      </w:r>
      <w:r>
        <w:rPr>
          <w:rFonts w:ascii="Times" w:hAnsi="Times" w:eastAsia="方正楷体_GBK" w:cs="Times New Roman"/>
          <w:sz w:val="32"/>
          <w:szCs w:val="32"/>
        </w:rPr>
        <w:t>（市商务局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市发改委、市工</w:t>
      </w:r>
      <w:r>
        <w:rPr>
          <w:rFonts w:hint="eastAsia" w:ascii="Times" w:hAnsi="Times" w:eastAsia="方正楷体_GBK" w:cs="Times New Roman"/>
          <w:sz w:val="32"/>
          <w:szCs w:val="32"/>
        </w:rPr>
        <w:t>信</w:t>
      </w:r>
      <w:r>
        <w:rPr>
          <w:rFonts w:ascii="Times" w:hAnsi="Times" w:eastAsia="方正楷体_GBK" w:cs="Times New Roman"/>
          <w:sz w:val="32"/>
          <w:szCs w:val="32"/>
        </w:rPr>
        <w:t>局、市文</w:t>
      </w:r>
      <w:r>
        <w:rPr>
          <w:rFonts w:hint="eastAsia" w:ascii="Times" w:hAnsi="Times" w:eastAsia="方正楷体_GBK" w:cs="Times New Roman"/>
          <w:sz w:val="32"/>
          <w:szCs w:val="32"/>
        </w:rPr>
        <w:t>广</w:t>
      </w:r>
      <w:r>
        <w:rPr>
          <w:rFonts w:ascii="Times" w:hAnsi="Times" w:eastAsia="方正楷体_GBK" w:cs="Times New Roman"/>
          <w:sz w:val="32"/>
          <w:szCs w:val="32"/>
        </w:rPr>
        <w:t>旅局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sz w:val="32"/>
          <w:szCs w:val="32"/>
        </w:rPr>
        <w:t>6</w:t>
      </w:r>
      <w:r>
        <w:rPr>
          <w:rFonts w:ascii="Times New Roman" w:hAnsi="Times New Roman" w:eastAsia="方正楷体_GBK" w:cs="Times New Roman"/>
          <w:sz w:val="32"/>
          <w:szCs w:val="32"/>
        </w:rPr>
        <w:t>、创新载体平台管理运营</w:t>
      </w:r>
      <w:r>
        <w:rPr>
          <w:rFonts w:ascii="Times New Roman" w:hAnsi="Times New Roman" w:eastAsia="方正仿宋_GBK" w:cs="Times New Roman"/>
          <w:sz w:val="32"/>
          <w:szCs w:val="32"/>
        </w:rPr>
        <w:t>。把握去行政化和市场化改革方向，按照扁平化管理、公司化运营、市场化运作、专业化服务导向，探索“管委会+公司”管理模式、人事</w:t>
      </w:r>
      <w:r>
        <w:rPr>
          <w:rFonts w:ascii="Times New Roman" w:hAnsi="Times New Roman" w:eastAsia="方正仿宋_GBK" w:cs="Times New Roman"/>
          <w:color w:val="333333"/>
          <w:sz w:val="32"/>
          <w:szCs w:val="32"/>
        </w:rPr>
        <w:t>岗位</w:t>
      </w:r>
      <w:r>
        <w:rPr>
          <w:rFonts w:ascii="Times New Roman" w:hAnsi="Times New Roman" w:eastAsia="方正仿宋_GBK" w:cs="Times New Roman"/>
          <w:sz w:val="32"/>
          <w:szCs w:val="32"/>
        </w:rPr>
        <w:t>聘用</w:t>
      </w:r>
      <w:r>
        <w:rPr>
          <w:rFonts w:ascii="Times New Roman" w:hAnsi="Times New Roman" w:eastAsia="方正仿宋_GBK" w:cs="Times New Roman"/>
          <w:color w:val="333333"/>
          <w:sz w:val="32"/>
          <w:szCs w:val="32"/>
        </w:rPr>
        <w:t>制</w:t>
      </w:r>
      <w:r>
        <w:rPr>
          <w:rFonts w:ascii="Times New Roman" w:hAnsi="Times New Roman" w:eastAsia="方正仿宋_GBK" w:cs="Times New Roman"/>
          <w:sz w:val="32"/>
          <w:szCs w:val="32"/>
        </w:rPr>
        <w:t>。践行“一区多园”发展模式，确保统一领导体系、统一发展规划、统一政策保障、统一公共服务。进一步理顺产业园区与所辖乡镇（街道）的关系。完善平台功能配套，强化公共研发平台、邻里中心、智慧平台、道路市政等设施配套。搭建投资开发建设和产业引导基金平台，探索实行“平台+智库+资本”联动发展模式。盘活存量资源，持续开展“三项清理”，每年盘活土地1000亩、厂房20万平方米左右。</w:t>
      </w:r>
      <w:r>
        <w:rPr>
          <w:rFonts w:ascii="Times" w:hAnsi="Times" w:eastAsia="方正楷体_GBK" w:cs="Times New Roman"/>
          <w:sz w:val="32"/>
          <w:szCs w:val="32"/>
        </w:rPr>
        <w:t>（市发改委</w:t>
      </w:r>
      <w:r>
        <w:rPr>
          <w:rFonts w:hint="eastAsia" w:ascii="Times" w:hAnsi="Times" w:eastAsia="方正楷体_GBK" w:cs="Times New Roman"/>
          <w:sz w:val="32"/>
          <w:szCs w:val="32"/>
          <w:lang w:eastAsia="zh-CN"/>
        </w:rPr>
        <w:t>、</w:t>
      </w:r>
      <w:r>
        <w:rPr>
          <w:rFonts w:hint="eastAsia" w:ascii="Times" w:hAnsi="Times" w:eastAsia="方正楷体_GBK" w:cs="Times New Roman"/>
          <w:color w:val="0000FF"/>
          <w:sz w:val="32"/>
          <w:szCs w:val="32"/>
          <w:lang w:eastAsia="zh-CN"/>
        </w:rPr>
        <w:t>市工信局、市财政局、</w:t>
      </w:r>
      <w:r>
        <w:rPr>
          <w:rFonts w:ascii="Times" w:hAnsi="Times" w:eastAsia="方正楷体_GBK" w:cs="Times New Roman"/>
          <w:color w:val="0000FF"/>
          <w:sz w:val="32"/>
          <w:szCs w:val="32"/>
        </w:rPr>
        <w:t>市</w:t>
      </w:r>
      <w:r>
        <w:rPr>
          <w:rFonts w:hint="eastAsia" w:ascii="Times" w:hAnsi="Times" w:eastAsia="方正楷体_GBK" w:cs="Times New Roman"/>
          <w:color w:val="0000FF"/>
          <w:sz w:val="32"/>
          <w:szCs w:val="32"/>
          <w:lang w:eastAsia="zh-CN"/>
        </w:rPr>
        <w:t>城管</w:t>
      </w:r>
      <w:r>
        <w:rPr>
          <w:rFonts w:ascii="Times" w:hAnsi="Times" w:eastAsia="方正楷体_GBK" w:cs="Times New Roman"/>
          <w:color w:val="0000FF"/>
          <w:sz w:val="32"/>
          <w:szCs w:val="32"/>
        </w:rPr>
        <w:t>局、市商务局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7</w:t>
      </w:r>
      <w:r>
        <w:rPr>
          <w:rFonts w:ascii="Times New Roman" w:hAnsi="Times New Roman" w:eastAsia="方正楷体_GBK" w:cs="Times New Roman"/>
          <w:sz w:val="32"/>
          <w:szCs w:val="32"/>
        </w:rPr>
        <w:t>、推动重大项目招引建设。</w:t>
      </w:r>
      <w:r>
        <w:rPr>
          <w:rFonts w:ascii="Times New Roman" w:hAnsi="Times New Roman" w:eastAsia="方正仿宋_GBK" w:cs="Times New Roman"/>
          <w:sz w:val="32"/>
          <w:szCs w:val="32"/>
        </w:rPr>
        <w:t>坚持“项目为王”，围绕产业链关键环节，加强与跨国公司、央企国企、知名民企合作，更大力度引进优质项目和头部企业。建立绿色智造动态项目库，形成储备一批、开工一批、建设一批、竣工一批的项目滚动实施机制。积极争取重特大项目列入省市重大项目清单，在土地、资金、政策等方面给予重点保障。完善重大项目分级管理和目标责任制，推行项目服务负责人领办制，落实项目服务“全周期跟踪、全流程闭环”，</w:t>
      </w:r>
      <w:r>
        <w:rPr>
          <w:rFonts w:ascii="Times New Roman" w:hAnsi="Times New Roman" w:eastAsia="方正仿宋_GBK" w:cs="Times New Roman"/>
          <w:color w:val="000000"/>
          <w:sz w:val="32"/>
          <w:szCs w:val="32"/>
        </w:rPr>
        <w:t>努力形成项目从开工到投产的</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5个月新常态</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sz w:val="32"/>
          <w:szCs w:val="32"/>
        </w:rPr>
        <w:t>。到2025年，招引5亿元以上项目40个，突破50亿元、100亿元重大项目</w:t>
      </w:r>
      <w:r>
        <w:rPr>
          <w:rFonts w:hint="eastAsia" w:ascii="Times New Roman" w:hAnsi="Times New Roman" w:eastAsia="方正仿宋_GBK" w:cs="Times New Roman"/>
          <w:sz w:val="32"/>
          <w:szCs w:val="32"/>
        </w:rPr>
        <w:t>5个</w:t>
      </w:r>
      <w:r>
        <w:rPr>
          <w:rFonts w:ascii="Times New Roman" w:hAnsi="Times New Roman" w:eastAsia="方正仿宋_GBK" w:cs="Times New Roman"/>
          <w:sz w:val="32"/>
          <w:szCs w:val="32"/>
        </w:rPr>
        <w:t>。</w:t>
      </w:r>
      <w:r>
        <w:rPr>
          <w:rFonts w:ascii="Times" w:hAnsi="Times" w:eastAsia="方正楷体_GBK" w:cs="Times New Roman"/>
          <w:sz w:val="32"/>
          <w:szCs w:val="32"/>
        </w:rPr>
        <w:t>（市发改委</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市商务局、市行政审批局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16" w:name="_Toc3461"/>
      <w:bookmarkStart w:id="17" w:name="_Toc2890"/>
      <w:r>
        <w:rPr>
          <w:rStyle w:val="44"/>
          <w:rFonts w:hint="default" w:ascii="Times New Roman" w:hAnsi="Times New Roman" w:eastAsia="方正楷体_GBK"/>
          <w:b w:val="0"/>
          <w:bCs/>
          <w:spacing w:val="8"/>
          <w:kern w:val="0"/>
          <w:sz w:val="32"/>
          <w:szCs w:val="20"/>
          <w:lang w:bidi="bo-CN"/>
        </w:rPr>
        <w:t>（</w:t>
      </w:r>
      <w:r>
        <w:rPr>
          <w:rStyle w:val="44"/>
          <w:rFonts w:ascii="Times New Roman" w:hAnsi="Times New Roman" w:eastAsia="方正楷体_GBK"/>
          <w:b w:val="0"/>
          <w:bCs/>
          <w:spacing w:val="8"/>
          <w:kern w:val="0"/>
          <w:sz w:val="32"/>
          <w:szCs w:val="20"/>
          <w:lang w:bidi="bo-CN"/>
        </w:rPr>
        <w:t>三</w:t>
      </w:r>
      <w:r>
        <w:rPr>
          <w:rStyle w:val="44"/>
          <w:rFonts w:hint="default" w:ascii="Times New Roman" w:hAnsi="Times New Roman" w:eastAsia="方正楷体_GBK"/>
          <w:b w:val="0"/>
          <w:bCs/>
          <w:spacing w:val="8"/>
          <w:kern w:val="0"/>
          <w:sz w:val="32"/>
          <w:szCs w:val="20"/>
          <w:lang w:bidi="bo-CN"/>
        </w:rPr>
        <w:t>）市场主体培育行动</w:t>
      </w:r>
      <w:bookmarkEnd w:id="16"/>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快营造一流营商环境，坚持分类指导、梯次培育、差异扶持，完善企业梯队引培链，做强“旗舰航母”龙头企业，做优“专精特新”中小微企业，做好招商安商稳商工作，全面提升企业创新力、竞争力和影响力。</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sz w:val="32"/>
          <w:szCs w:val="32"/>
        </w:rPr>
        <w:t>8</w:t>
      </w:r>
      <w:r>
        <w:rPr>
          <w:rFonts w:ascii="Times New Roman" w:hAnsi="Times New Roman" w:eastAsia="方正楷体_GBK" w:cs="Times New Roman"/>
          <w:sz w:val="32"/>
          <w:szCs w:val="32"/>
        </w:rPr>
        <w:t>、打造一流营商环境</w:t>
      </w:r>
      <w:r>
        <w:rPr>
          <w:rFonts w:ascii="Times New Roman" w:hAnsi="Times New Roman" w:eastAsia="方正仿宋_GBK" w:cs="Times New Roman"/>
          <w:sz w:val="32"/>
          <w:szCs w:val="32"/>
        </w:rPr>
        <w:t>。以市场化、法治化、国际化为目标，对标对表，致力打造“东台最懂你”营商品牌。持续深化“放管服”改革，扎实推进“不见面”审批、“一件事”改革，接入全省统一的预约叫号系统，实现政务服务就近能办、异地可办、区域通办、全程网办。围绕证照办理、施工许可、消防验收、环保审批等关键领域，健全快捷高效服务机制。全面落实减税降费等惠企政策，帮助企业降低制度性交易成本和融资、物流、用能等生产经营性成本。依法放宽市场准入门槛，保护好各类市场主体合法权益，构建“亲”“清”政商关系。加强社会信用体系建设，深化“双随机、一公开”监管。</w:t>
      </w:r>
      <w:r>
        <w:rPr>
          <w:rFonts w:ascii="Times" w:hAnsi="Times" w:eastAsia="方正楷体_GBK" w:cs="Times New Roman"/>
          <w:sz w:val="32"/>
          <w:szCs w:val="32"/>
        </w:rPr>
        <w:t>（市发</w:t>
      </w:r>
      <w:r>
        <w:rPr>
          <w:rFonts w:hint="eastAsia" w:ascii="Times" w:hAnsi="Times" w:eastAsia="方正楷体_GBK" w:cs="Times New Roman"/>
          <w:sz w:val="32"/>
          <w:szCs w:val="32"/>
        </w:rPr>
        <w:t>改</w:t>
      </w:r>
      <w:r>
        <w:rPr>
          <w:rFonts w:ascii="Times" w:hAnsi="Times" w:eastAsia="方正楷体_GBK" w:cs="Times New Roman"/>
          <w:sz w:val="32"/>
          <w:szCs w:val="32"/>
        </w:rPr>
        <w:t>委</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市行政审批局、市市场监管局、市商务局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sz w:val="32"/>
          <w:szCs w:val="32"/>
        </w:rPr>
        <w:t>9</w:t>
      </w:r>
      <w:r>
        <w:rPr>
          <w:rFonts w:ascii="Times New Roman" w:hAnsi="Times New Roman" w:eastAsia="方正楷体_GBK" w:cs="Times New Roman"/>
          <w:sz w:val="32"/>
          <w:szCs w:val="32"/>
        </w:rPr>
        <w:t>、做强“旗舰航母”龙头企业</w:t>
      </w:r>
      <w:r>
        <w:rPr>
          <w:rFonts w:ascii="Times New Roman" w:hAnsi="Times New Roman" w:eastAsia="方正仿宋_GBK" w:cs="Times New Roman"/>
          <w:sz w:val="32"/>
          <w:szCs w:val="32"/>
        </w:rPr>
        <w:t>。做优“链主企业”，聚焦四大主导产业，建立“链主”“准链主”企业引培库，支持占据产业链价值链关键环节的企业，加强产业链横向联合、垂直整合、重组兼并。做强创新型领军企业，加大对战略性新兴产业领军企业、现代服务业高质量发展领军企业的培育和储备，挖掘一批潜在瞪羚企业和独角兽企业。用好“上市9条”激励政策，实施企业上市“金种子”培育计划，加快培育上市后备企业资源，推动企业股改上市。实施高新技术企业倍增计划，设立专项政策引导科技型中小企业申报高新技术企业。到2025年，培育国家高新技术企业达500家、新增上市企业3-5家、独角兽种子企业2-3家，盐城市级瞪羚企业10家。</w:t>
      </w:r>
      <w:r>
        <w:rPr>
          <w:rFonts w:ascii="Times" w:hAnsi="Times" w:eastAsia="方正楷体_GBK" w:cs="Times New Roman"/>
          <w:sz w:val="32"/>
          <w:szCs w:val="32"/>
        </w:rPr>
        <w:t>（市工</w:t>
      </w:r>
      <w:r>
        <w:rPr>
          <w:rFonts w:hint="eastAsia" w:ascii="Times" w:hAnsi="Times" w:eastAsia="方正楷体_GBK" w:cs="Times New Roman"/>
          <w:sz w:val="32"/>
          <w:szCs w:val="32"/>
        </w:rPr>
        <w:t>信</w:t>
      </w:r>
      <w:r>
        <w:rPr>
          <w:rFonts w:ascii="Times" w:hAnsi="Times" w:eastAsia="方正楷体_GBK" w:cs="Times New Roman"/>
          <w:sz w:val="32"/>
          <w:szCs w:val="32"/>
        </w:rPr>
        <w:t>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市科技局、市金融监管局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kern w:val="0"/>
          <w:sz w:val="32"/>
          <w:szCs w:val="32"/>
        </w:rPr>
        <w:t>10</w:t>
      </w:r>
      <w:r>
        <w:rPr>
          <w:rFonts w:ascii="Times New Roman" w:hAnsi="Times New Roman" w:eastAsia="方正楷体_GBK" w:cs="Times New Roman"/>
          <w:kern w:val="0"/>
          <w:sz w:val="32"/>
          <w:szCs w:val="32"/>
        </w:rPr>
        <w:t>、做优“专精特新”中小微企业</w:t>
      </w:r>
      <w:r>
        <w:rPr>
          <w:rFonts w:ascii="Times New Roman" w:hAnsi="Times New Roman" w:eastAsia="方正仿宋_GBK" w:cs="Times New Roman"/>
          <w:sz w:val="32"/>
          <w:szCs w:val="32"/>
        </w:rPr>
        <w:t>。围绕“专业化、精品化、特色化、创新型”发展导向，加强“专精特新”企业打造。引导中小微企业深耕细分领域，开展技术创新、管理创新和商业模式创新，培育一批质量效益优、创新能力强、成长性好的专精特新“小巨人”企业和掌握关键核心科技的“单项冠军”“隐形冠军”。建立动态“专精特新”企业培育库，建立健全联系帮扶制度，为中小微企业提供精准到位的服务。促进各类企业融通发展，推动中小企业通过参与产业合作联盟、承接服务外包和订单生产等多种方式，与大型企业建立长期稳定合作关系。持续开展“争星创优”活动，完善形成“微成长、小升高、高壮大”梯次培育机制，不断壮大规上企业队伍。到2025年，累计新增规上企业350家，创成三星以上工业企业</w:t>
      </w:r>
      <w:r>
        <w:rPr>
          <w:rFonts w:ascii="Times New Roman" w:hAnsi="Times New Roman" w:eastAsia="方正仿宋_GBK" w:cs="Times New Roman"/>
          <w:color w:val="0000FF"/>
          <w:sz w:val="32"/>
          <w:szCs w:val="32"/>
        </w:rPr>
        <w:t>3</w:t>
      </w:r>
      <w:r>
        <w:rPr>
          <w:rFonts w:hint="eastAsia" w:ascii="Times New Roman" w:hAnsi="Times New Roman" w:eastAsia="方正仿宋_GBK" w:cs="Times New Roman"/>
          <w:color w:val="0000FF"/>
          <w:sz w:val="32"/>
          <w:szCs w:val="32"/>
          <w:lang w:val="en-US" w:eastAsia="zh-CN"/>
        </w:rPr>
        <w:t>5</w:t>
      </w:r>
      <w:r>
        <w:rPr>
          <w:rFonts w:ascii="Times New Roman" w:hAnsi="Times New Roman" w:eastAsia="方正仿宋_GBK" w:cs="Times New Roman"/>
          <w:color w:val="0000FF"/>
          <w:sz w:val="32"/>
          <w:szCs w:val="32"/>
        </w:rPr>
        <w:t>家</w:t>
      </w:r>
      <w:r>
        <w:rPr>
          <w:rFonts w:ascii="Times New Roman" w:hAnsi="Times New Roman" w:eastAsia="方正仿宋_GBK" w:cs="Times New Roman"/>
          <w:sz w:val="32"/>
          <w:szCs w:val="32"/>
        </w:rPr>
        <w:t>以上，培育省级以上“专精特新”小巨人企业20家。</w:t>
      </w:r>
      <w:r>
        <w:rPr>
          <w:rFonts w:ascii="Times" w:hAnsi="Times" w:eastAsia="方正楷体_GBK" w:cs="Times New Roman"/>
          <w:sz w:val="32"/>
          <w:szCs w:val="32"/>
        </w:rPr>
        <w:t>（市工</w:t>
      </w:r>
      <w:r>
        <w:rPr>
          <w:rFonts w:hint="eastAsia" w:ascii="Times" w:hAnsi="Times" w:eastAsia="方正楷体_GBK" w:cs="Times New Roman"/>
          <w:sz w:val="32"/>
          <w:szCs w:val="32"/>
        </w:rPr>
        <w:t>信</w:t>
      </w:r>
      <w:r>
        <w:rPr>
          <w:rFonts w:ascii="Times" w:hAnsi="Times" w:eastAsia="方正楷体_GBK" w:cs="Times New Roman"/>
          <w:sz w:val="32"/>
          <w:szCs w:val="32"/>
        </w:rPr>
        <w:t>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市科技局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rPr>
        <w:t>11</w:t>
      </w:r>
      <w:r>
        <w:rPr>
          <w:rFonts w:ascii="Times New Roman" w:hAnsi="Times New Roman" w:eastAsia="方正楷体_GBK" w:cs="Times New Roman"/>
          <w:kern w:val="0"/>
          <w:sz w:val="32"/>
          <w:szCs w:val="32"/>
        </w:rPr>
        <w:t>、做好招商安商稳商工作</w:t>
      </w:r>
      <w:r>
        <w:rPr>
          <w:rFonts w:ascii="Times New Roman" w:hAnsi="Times New Roman" w:eastAsia="方正仿宋_GBK" w:cs="Times New Roman"/>
          <w:sz w:val="32"/>
          <w:szCs w:val="32"/>
        </w:rPr>
        <w:t>。优化“全员全域全年”招商机制，打造高素质招商引资专业队伍，提升招商引资专职化、专业化、精准化水平。密集开展敲门招商，绘制产业链招商地图，以“点对点”“一对一”的个性化手段实现重点突破。积极推进委托招商，完善机构联络库等投资推广体系。做深以商引商，深度挖掘现有企业的人脉商脉，努力形成引进一个、带动一批的“葡萄串效应”。大力推动基金招商、金融招商，用好产业引导基金。开展定点招商，科学制定对沪招商路线图。强化安商稳商，实行领导挂钩联系、部门结对服务重点企业制度，细化服务举措，及时解决企业实际困难。到2025年，培育开票销售超10亿元企业20家，超50亿元企业5家，超百亿元企业3家。</w:t>
      </w:r>
      <w:r>
        <w:rPr>
          <w:rFonts w:ascii="Times" w:hAnsi="Times" w:eastAsia="方正楷体_GBK" w:cs="Times New Roman"/>
          <w:sz w:val="32"/>
          <w:szCs w:val="32"/>
        </w:rPr>
        <w:t>（市发改委</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市商务局、市工</w:t>
      </w:r>
      <w:r>
        <w:rPr>
          <w:rFonts w:hint="eastAsia" w:ascii="Times" w:hAnsi="Times" w:eastAsia="方正楷体_GBK" w:cs="Times New Roman"/>
          <w:sz w:val="32"/>
          <w:szCs w:val="32"/>
        </w:rPr>
        <w:t>信</w:t>
      </w:r>
      <w:r>
        <w:rPr>
          <w:rFonts w:ascii="Times" w:hAnsi="Times" w:eastAsia="方正楷体_GBK" w:cs="Times New Roman"/>
          <w:sz w:val="32"/>
          <w:szCs w:val="32"/>
        </w:rPr>
        <w:t>局、市财政局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r>
        <w:rPr>
          <w:rStyle w:val="44"/>
          <w:rFonts w:hint="default" w:ascii="Times New Roman" w:hAnsi="Times New Roman" w:eastAsia="方正楷体_GBK"/>
          <w:b w:val="0"/>
          <w:bCs/>
          <w:spacing w:val="8"/>
          <w:kern w:val="0"/>
          <w:sz w:val="32"/>
          <w:szCs w:val="20"/>
          <w:lang w:bidi="bo-CN"/>
        </w:rPr>
        <w:t>（</w:t>
      </w:r>
      <w:r>
        <w:rPr>
          <w:rStyle w:val="44"/>
          <w:rFonts w:ascii="Times New Roman" w:hAnsi="Times New Roman" w:eastAsia="方正楷体_GBK"/>
          <w:b w:val="0"/>
          <w:bCs/>
          <w:spacing w:val="8"/>
          <w:kern w:val="0"/>
          <w:sz w:val="32"/>
          <w:szCs w:val="20"/>
          <w:lang w:bidi="bo-CN"/>
        </w:rPr>
        <w:t>四</w:t>
      </w:r>
      <w:r>
        <w:rPr>
          <w:rStyle w:val="44"/>
          <w:rFonts w:hint="default" w:ascii="Times New Roman" w:hAnsi="Times New Roman" w:eastAsia="方正楷体_GBK"/>
          <w:b w:val="0"/>
          <w:bCs/>
          <w:spacing w:val="8"/>
          <w:kern w:val="0"/>
          <w:sz w:val="32"/>
          <w:szCs w:val="20"/>
          <w:lang w:bidi="bo-CN"/>
        </w:rPr>
        <w:t>）科技创新突破行动</w:t>
      </w:r>
      <w:bookmarkEnd w:id="17"/>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抢抓新一轮科技革命和产业变革机遇，发挥“科创18条”政策激励作用，提升重点产业领域技术创新能力，构建“技术攻关+成果产业化+科技金融+人才支撑”的全过程创新生态链。</w:t>
      </w:r>
    </w:p>
    <w:p>
      <w:pPr>
        <w:spacing w:line="58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12</w:t>
      </w:r>
      <w:r>
        <w:rPr>
          <w:rFonts w:ascii="Times New Roman" w:hAnsi="Times New Roman" w:eastAsia="方正楷体_GBK" w:cs="Times New Roman"/>
          <w:sz w:val="32"/>
          <w:szCs w:val="32"/>
        </w:rPr>
        <w:t>、引培一批创新创业人才。</w:t>
      </w:r>
      <w:r>
        <w:rPr>
          <w:rFonts w:ascii="Times New Roman" w:hAnsi="Times New Roman" w:eastAsia="方正仿宋_GBK" w:cs="Times New Roman"/>
          <w:sz w:val="32"/>
          <w:szCs w:val="32"/>
        </w:rPr>
        <w:t>落实黄海明珠人才计划，放大名校优生“汇盐行动”效应，激励和引导各类人才到东台创新创业。突出顶尖人才柔性招引，推动人才、技术、资金、项目“打包”引进，以“一人一策”“一事一议”方式为高端人才及其团队提供精准支持。创新柔性引才机制，布局建设柔性引才基地，设立院士工作站、博士后科研工作站（省级博士后创新实践基地）、“候鸟”人才工作站、高端智库等柔性引才用才平台。打响“乐业家乡 创响东台”品牌，实施就业创业能力提升行动、“来东台 赢未来”返乡创业行动，激励各类人员返乡创业。加强本地人才留用培养，支持企业与职业技术院校合作建设公共实训基地，采取“企校双制、工学一体”模式，加快培养实用型、操作型高技能人才。推进职称制度和人才分类评价改革，创新重点人才群体的职称评价。到2025年，累计资助引进创新创业领军人才100名左右，扶持大学生创业1000人。</w:t>
      </w:r>
      <w:r>
        <w:rPr>
          <w:rFonts w:ascii="Times" w:hAnsi="Times" w:eastAsia="方正楷体_GBK" w:cs="Times New Roman"/>
          <w:sz w:val="32"/>
          <w:szCs w:val="32"/>
        </w:rPr>
        <w:t>（市委组织部</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市财政局、市科技局、市人社局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sz w:val="32"/>
          <w:szCs w:val="32"/>
        </w:rPr>
        <w:t>13</w:t>
      </w:r>
      <w:r>
        <w:rPr>
          <w:rFonts w:ascii="Times New Roman" w:hAnsi="Times New Roman" w:eastAsia="方正楷体_GBK" w:cs="Times New Roman"/>
          <w:sz w:val="32"/>
          <w:szCs w:val="32"/>
        </w:rPr>
        <w:t>、攻克一批关键技术。</w:t>
      </w:r>
      <w:r>
        <w:rPr>
          <w:rFonts w:ascii="Times New Roman" w:hAnsi="Times New Roman" w:eastAsia="方正仿宋_GBK" w:cs="Times New Roman"/>
          <w:sz w:val="32"/>
          <w:szCs w:val="32"/>
        </w:rPr>
        <w:t>聚焦四大主导产业和两大传统优势产业，邀请高校专家团队和优质技术经纪人团队，精准挖掘企业技术需求和技术难题，制定重点领域技术攻关路线图。综合运用定向择优、联合招标、“揭榜挂帅”和股份合作等方式，鼓励和支持民营企业开展关键核心技术攻关。充分发挥企业创新主体作用，积极承担国家和省级重大科技专项和重点领域研发计划，突破产业链上下游“卡脖子”技术瓶颈，形成一批自主创新产品。推动技术总师负责制，组建企业、高校、科研机构等创新联合体，联合攻关关键核心技术。鼓励企业积极申报省重点推广应用目录的新技术新产品、省级以上首台（套）重大装备及零部件。到2025年，研发经费支出占地区生产总值比重提高到3%以上，万人发明专利拥有量18.5件。</w:t>
      </w:r>
      <w:r>
        <w:rPr>
          <w:rFonts w:ascii="Times" w:hAnsi="Times" w:eastAsia="方正楷体_GBK" w:cs="Times New Roman"/>
          <w:sz w:val="32"/>
          <w:szCs w:val="32"/>
        </w:rPr>
        <w:t>（市科技局</w:t>
      </w:r>
      <w:r>
        <w:rPr>
          <w:rFonts w:hint="eastAsia" w:ascii="Times" w:hAnsi="Times" w:eastAsia="方正楷体_GBK" w:cs="Times New Roman"/>
          <w:sz w:val="32"/>
          <w:szCs w:val="32"/>
          <w:lang w:eastAsia="zh-CN"/>
        </w:rPr>
        <w:t>、市工信局、</w:t>
      </w:r>
      <w:r>
        <w:rPr>
          <w:rFonts w:ascii="Times" w:hAnsi="Times" w:eastAsia="方正楷体_GBK" w:cs="Times New Roman"/>
          <w:sz w:val="32"/>
          <w:szCs w:val="32"/>
        </w:rPr>
        <w:t>市财政局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14</w:t>
      </w:r>
      <w:r>
        <w:rPr>
          <w:rFonts w:ascii="Times New Roman" w:hAnsi="Times New Roman" w:eastAsia="方正楷体_GBK" w:cs="Times New Roman"/>
          <w:sz w:val="32"/>
          <w:szCs w:val="32"/>
        </w:rPr>
        <w:t>、转化一批创新成果。</w:t>
      </w:r>
      <w:r>
        <w:rPr>
          <w:rFonts w:ascii="Times New Roman" w:hAnsi="Times New Roman" w:eastAsia="方正仿宋_GBK" w:cs="Times New Roman"/>
          <w:sz w:val="32"/>
          <w:szCs w:val="32"/>
        </w:rPr>
        <w:t>加大力度推进技术转移机构建设，重点支持全国“双一流”高校和境外机构来东台设立具有独立法人资格、符合产业发展需求的技术转移机构。探索设立长三角科技管理沙龙东台基地，每年集中举办长三角科技成果直通车东台专场活动2场。发挥上海—东台技术转移协作中心作用，常态化组织长三角科技成果对接，选拔一批科技专员赴重点院校进行科技驻点招商，促进技术成果在东台转移转化。推动企业开展高价值专利培育布局，鼓励知识产权所有者通过合同科研、专利使用许可、创办公司、技术入股等多种途径实施技术转移转化。依托省级以上科技企业孵化器，探索“链式孵化+产业加速+风险投资”模式，汇聚一批研发设计、创业孵化、科技金融机构，吸引一批优质科创服务型企业入驻，引进一批技术转移专业服务人才。</w:t>
      </w:r>
      <w:r>
        <w:rPr>
          <w:rFonts w:ascii="Times" w:hAnsi="Times" w:eastAsia="方正楷体_GBK" w:cs="Times New Roman"/>
          <w:sz w:val="32"/>
          <w:szCs w:val="32"/>
        </w:rPr>
        <w:t>（市科技局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市市场监管局、市金融监管局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15</w:t>
      </w:r>
      <w:r>
        <w:rPr>
          <w:rFonts w:ascii="Times New Roman" w:hAnsi="Times New Roman" w:eastAsia="方正楷体_GBK" w:cs="Times New Roman"/>
          <w:sz w:val="32"/>
          <w:szCs w:val="32"/>
        </w:rPr>
        <w:t>、打造一批科技创新平台。</w:t>
      </w:r>
      <w:r>
        <w:rPr>
          <w:rFonts w:ascii="Times New Roman" w:hAnsi="Times New Roman" w:eastAsia="方正仿宋_GBK" w:cs="Times New Roman"/>
          <w:sz w:val="32"/>
          <w:szCs w:val="32"/>
        </w:rPr>
        <w:t>加快“三站三中心”建设步伐，鼓励龙头企业牵头或参与建设工程技术研究中心、企业技术中心、工程研究中心等研发创新平台，支持现有市级创新平台争创省级和国家级。吸引周边大院大所在东台设立分支机构或新型研发机构。加快东湖科创综合体、睿行科创综合体、麦腾创新工场等建设，支持创建创客空间、创客实践室，推动现有孵化器功能升级。以四大主导产业和两大传统优势产业为重点，加快建设新材料、电子信息和大健康产业研究院，提升产业创新发展能力。引导支持高新区凝炼产业链条，尽早列入省级高新区建设目录。支持经济开发区创建国家知识产权试点园区。到2025年，省级以上研发平台总数突破120家，四大主导产业分别建成1个研究院、1个专业孵化器、1个产业技术创新联盟、1个产业引导基金，国家级研发机构实现零的突破。</w:t>
      </w:r>
      <w:r>
        <w:rPr>
          <w:rFonts w:ascii="Times" w:hAnsi="Times" w:eastAsia="方正楷体_GBK" w:cs="Times New Roman"/>
          <w:sz w:val="32"/>
          <w:szCs w:val="32"/>
        </w:rPr>
        <w:t>（</w:t>
      </w:r>
      <w:r>
        <w:rPr>
          <w:rFonts w:hint="eastAsia" w:ascii="Times" w:hAnsi="Times" w:eastAsia="方正楷体_GBK" w:cs="Times New Roman"/>
          <w:sz w:val="32"/>
          <w:szCs w:val="32"/>
          <w:lang w:eastAsia="zh-CN"/>
        </w:rPr>
        <w:t>市发改委、</w:t>
      </w:r>
      <w:r>
        <w:rPr>
          <w:rFonts w:ascii="Times" w:hAnsi="Times" w:eastAsia="方正楷体_GBK" w:cs="Times New Roman"/>
          <w:sz w:val="32"/>
          <w:szCs w:val="32"/>
        </w:rPr>
        <w:t>市科技局</w:t>
      </w:r>
      <w:r>
        <w:rPr>
          <w:rFonts w:hint="eastAsia" w:ascii="Times" w:hAnsi="Times" w:eastAsia="方正楷体_GBK" w:cs="Times New Roman"/>
          <w:sz w:val="32"/>
          <w:szCs w:val="32"/>
          <w:lang w:eastAsia="zh-CN"/>
        </w:rPr>
        <w:t>、市工信局、</w:t>
      </w:r>
      <w:r>
        <w:rPr>
          <w:rFonts w:ascii="Times" w:hAnsi="Times" w:eastAsia="方正楷体_GBK" w:cs="Times New Roman"/>
          <w:sz w:val="32"/>
          <w:szCs w:val="32"/>
        </w:rPr>
        <w:t>市市场监管局、市工</w:t>
      </w:r>
      <w:r>
        <w:rPr>
          <w:rFonts w:hint="eastAsia" w:ascii="Times" w:hAnsi="Times" w:eastAsia="方正楷体_GBK" w:cs="Times New Roman"/>
          <w:sz w:val="32"/>
          <w:szCs w:val="32"/>
        </w:rPr>
        <w:t>信</w:t>
      </w:r>
      <w:r>
        <w:rPr>
          <w:rFonts w:ascii="Times" w:hAnsi="Times" w:eastAsia="方正楷体_GBK" w:cs="Times New Roman"/>
          <w:sz w:val="32"/>
          <w:szCs w:val="32"/>
        </w:rPr>
        <w:t>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18" w:name="_Toc24527"/>
      <w:r>
        <w:rPr>
          <w:rStyle w:val="44"/>
          <w:rFonts w:hint="default" w:ascii="Times New Roman" w:hAnsi="Times New Roman" w:eastAsia="方正楷体_GBK"/>
          <w:b w:val="0"/>
          <w:bCs/>
          <w:spacing w:val="8"/>
          <w:kern w:val="0"/>
          <w:sz w:val="32"/>
          <w:szCs w:val="20"/>
          <w:lang w:bidi="bo-CN"/>
        </w:rPr>
        <w:t>（</w:t>
      </w:r>
      <w:r>
        <w:rPr>
          <w:rStyle w:val="44"/>
          <w:rFonts w:ascii="Times New Roman" w:hAnsi="Times New Roman" w:eastAsia="方正楷体_GBK"/>
          <w:b w:val="0"/>
          <w:bCs/>
          <w:spacing w:val="8"/>
          <w:kern w:val="0"/>
          <w:sz w:val="32"/>
          <w:szCs w:val="20"/>
          <w:lang w:bidi="bo-CN"/>
        </w:rPr>
        <w:t>五</w:t>
      </w:r>
      <w:r>
        <w:rPr>
          <w:rStyle w:val="44"/>
          <w:rFonts w:hint="default" w:ascii="Times New Roman" w:hAnsi="Times New Roman" w:eastAsia="方正楷体_GBK"/>
          <w:b w:val="0"/>
          <w:bCs/>
          <w:spacing w:val="8"/>
          <w:kern w:val="0"/>
          <w:sz w:val="32"/>
          <w:szCs w:val="20"/>
          <w:lang w:bidi="bo-CN"/>
        </w:rPr>
        <w:t>）数字赋能增效行动</w:t>
      </w:r>
      <w:bookmarkEnd w:id="18"/>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结合“数字东台”建设，大力发展数字经济新业态、新模式，积极推动互联网、大数据、人工智能等新一代信息技术和实体经济的深度融合，推进信息化和工业化的深度融合，提升产业发展的数字化、网络化、智能化整体水平。</w:t>
      </w:r>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1</w:t>
      </w:r>
      <w:r>
        <w:rPr>
          <w:rFonts w:hint="eastAsia" w:ascii="Times New Roman" w:hAnsi="Times New Roman" w:eastAsia="方正楷体_GBK" w:cs="Times New Roman"/>
          <w:sz w:val="32"/>
          <w:szCs w:val="32"/>
        </w:rPr>
        <w:t>6</w:t>
      </w:r>
      <w:r>
        <w:rPr>
          <w:rFonts w:ascii="Times New Roman" w:hAnsi="Times New Roman" w:eastAsia="方正楷体_GBK" w:cs="Times New Roman"/>
          <w:sz w:val="32"/>
          <w:szCs w:val="32"/>
        </w:rPr>
        <w:t>、加快建设工业互联网。</w:t>
      </w:r>
      <w:r>
        <w:rPr>
          <w:rFonts w:ascii="Times New Roman" w:hAnsi="Times New Roman" w:eastAsia="方正仿宋_GBK" w:cs="Times New Roman"/>
          <w:sz w:val="32"/>
          <w:szCs w:val="32"/>
        </w:rPr>
        <w:t>推进工业设备联网，推动工业设备“上云”，培育人、机、物全面互联的新兴业态。加快企业内网升级改造，推动工业无源光网络、工业以太网、工业无线网等新型工业网络部署。支持行业领军企业打造行业领先的工业互联网平台，带动上下游企业实现数字化、网络化、智能化。支持金科森国家工业互联网标识解析二级节点抢抓市场先机，深化与行业龙头、上下游企业合作，挖掘本地企业工业互联网标识需求，实现二级节点连接服务企业数量、标识量和解析量“三量齐升”，打造行业标杆。聚焦四大主导产业和重点行业，推进“5G+工业互联网”融合创新应用。到2025年，四大主导产业实现产业链工业互联网平台全覆盖，建成省级以上工业互联网平台、应用标杆工厂6个。</w:t>
      </w:r>
      <w:r>
        <w:rPr>
          <w:rFonts w:ascii="Times" w:hAnsi="Times" w:eastAsia="方正楷体_GBK" w:cs="Times New Roman"/>
          <w:sz w:val="32"/>
          <w:szCs w:val="32"/>
        </w:rPr>
        <w:t>（市工</w:t>
      </w:r>
      <w:r>
        <w:rPr>
          <w:rFonts w:hint="eastAsia" w:ascii="Times" w:hAnsi="Times" w:eastAsia="方正楷体_GBK" w:cs="Times New Roman"/>
          <w:sz w:val="32"/>
          <w:szCs w:val="32"/>
        </w:rPr>
        <w:t>信</w:t>
      </w:r>
      <w:r>
        <w:rPr>
          <w:rFonts w:ascii="Times" w:hAnsi="Times" w:eastAsia="方正楷体_GBK" w:cs="Times New Roman"/>
          <w:sz w:val="32"/>
          <w:szCs w:val="32"/>
        </w:rPr>
        <w:t>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市发改委</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sz w:val="32"/>
          <w:szCs w:val="32"/>
        </w:rPr>
        <w:t>17</w:t>
      </w:r>
      <w:r>
        <w:rPr>
          <w:rFonts w:ascii="Times New Roman" w:hAnsi="Times New Roman" w:eastAsia="方正楷体_GBK" w:cs="Times New Roman"/>
          <w:sz w:val="32"/>
          <w:szCs w:val="32"/>
        </w:rPr>
        <w:t>、推进产业数字化转型。</w:t>
      </w:r>
      <w:r>
        <w:rPr>
          <w:rFonts w:ascii="Times New Roman" w:hAnsi="Times New Roman" w:eastAsia="方正仿宋_GBK" w:cs="Times New Roman"/>
          <w:sz w:val="32"/>
          <w:szCs w:val="32"/>
        </w:rPr>
        <w:t>继续开展“百家智能企业”培育工程，每年组织实施100个智能化改造项目，重点加快电子信息企业“机器换人”、装备制造企业“设备换芯”、新材料企业“生产换线”，支持科森在行业率先打造“黑灯工厂”，打造一批智能化改造标杆。大力培育引进智能制造、软件和系统集成服务商，推进高新区东台中科智算研究院建成运营。加快数字技术与制造服务业融合发展，发展智慧物流、数字金融等新业态新模式，鼓励纺织服装、建材家居、五金工具、体育用品等集聚优势较强的产业运用互联网发展垂直电商平台，积极拓展外贸发展新空间。到2025年，建成省级示范智能车间20家、省级示范智能工厂3个。</w:t>
      </w:r>
      <w:r>
        <w:rPr>
          <w:rFonts w:ascii="Times" w:hAnsi="Times" w:eastAsia="方正楷体_GBK" w:cs="Times New Roman"/>
          <w:sz w:val="32"/>
          <w:szCs w:val="32"/>
        </w:rPr>
        <w:t>（市工</w:t>
      </w:r>
      <w:r>
        <w:rPr>
          <w:rFonts w:hint="eastAsia" w:ascii="Times" w:hAnsi="Times" w:eastAsia="方正楷体_GBK" w:cs="Times New Roman"/>
          <w:sz w:val="32"/>
          <w:szCs w:val="32"/>
        </w:rPr>
        <w:t>信</w:t>
      </w:r>
      <w:r>
        <w:rPr>
          <w:rFonts w:ascii="Times" w:hAnsi="Times" w:eastAsia="方正楷体_GBK" w:cs="Times New Roman"/>
          <w:sz w:val="32"/>
          <w:szCs w:val="32"/>
        </w:rPr>
        <w:t>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市发改委、市</w:t>
      </w:r>
      <w:r>
        <w:rPr>
          <w:rFonts w:hint="eastAsia" w:ascii="Times" w:hAnsi="Times" w:eastAsia="方正楷体_GBK" w:cs="Times New Roman"/>
          <w:sz w:val="32"/>
          <w:szCs w:val="32"/>
          <w:lang w:eastAsia="zh-CN"/>
        </w:rPr>
        <w:t>商务</w:t>
      </w:r>
      <w:r>
        <w:rPr>
          <w:rFonts w:ascii="Times" w:hAnsi="Times" w:eastAsia="方正楷体_GBK" w:cs="Times New Roman"/>
          <w:sz w:val="32"/>
          <w:szCs w:val="32"/>
        </w:rPr>
        <w:t>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sz w:val="32"/>
          <w:szCs w:val="32"/>
        </w:rPr>
        <w:t>18</w:t>
      </w:r>
      <w:r>
        <w:rPr>
          <w:rFonts w:ascii="Times New Roman" w:hAnsi="Times New Roman" w:eastAsia="方正楷体_GBK" w:cs="Times New Roman"/>
          <w:sz w:val="32"/>
          <w:szCs w:val="32"/>
        </w:rPr>
        <w:t>、推进数字产业化发展。</w:t>
      </w:r>
      <w:r>
        <w:rPr>
          <w:rFonts w:ascii="Times New Roman" w:hAnsi="Times New Roman" w:eastAsia="方正仿宋_GBK" w:cs="Times New Roman"/>
          <w:sz w:val="32"/>
          <w:szCs w:val="32"/>
        </w:rPr>
        <w:t>围绕打造江苏沿海电子信息产业特色基地目标，重点发展智能终端、新一代通信设备、新型显示、半导体和人工智能等领域，构建贯通原材料、结构件、元器件、整机集成的产业生态。推进普天江苏公司等企业围绕数据存储、数据交易、数据应用、数据服务等环节，做大产业规模。加快推进软件和信息服务业本地化应用，推进工业互联网、智慧城市等融合应用。以科创大厦、互联网大厦、云谷、智厦等为主要载体，积极招引大数据、云计算、人工智能、区块链、3D打印等数字产业项目，推进信息技术自主创新，打造具有核心竞争力的数字产业集群。到2025年，数字经济核心产业规模达800亿元。</w:t>
      </w:r>
      <w:r>
        <w:rPr>
          <w:rFonts w:ascii="Times" w:hAnsi="Times" w:eastAsia="方正楷体_GBK" w:cs="Times New Roman"/>
          <w:sz w:val="32"/>
          <w:szCs w:val="32"/>
        </w:rPr>
        <w:t>（市工</w:t>
      </w:r>
      <w:r>
        <w:rPr>
          <w:rFonts w:hint="eastAsia" w:ascii="Times" w:hAnsi="Times" w:eastAsia="方正楷体_GBK" w:cs="Times New Roman"/>
          <w:sz w:val="32"/>
          <w:szCs w:val="32"/>
        </w:rPr>
        <w:t>信</w:t>
      </w:r>
      <w:r>
        <w:rPr>
          <w:rFonts w:ascii="Times" w:hAnsi="Times" w:eastAsia="方正楷体_GBK" w:cs="Times New Roman"/>
          <w:sz w:val="32"/>
          <w:szCs w:val="32"/>
        </w:rPr>
        <w:t>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市发改委</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19" w:name="_Toc24836"/>
      <w:r>
        <w:rPr>
          <w:rStyle w:val="44"/>
          <w:rFonts w:hint="default" w:ascii="Times New Roman" w:hAnsi="Times New Roman" w:eastAsia="方正楷体_GBK"/>
          <w:b w:val="0"/>
          <w:bCs/>
          <w:spacing w:val="8"/>
          <w:kern w:val="0"/>
          <w:sz w:val="32"/>
          <w:szCs w:val="20"/>
          <w:lang w:bidi="bo-CN"/>
        </w:rPr>
        <w:t>（六）绿色低碳发展行动</w:t>
      </w:r>
      <w:bookmarkEnd w:id="19"/>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践行绿水青山就是金山银山理念，认真落实碳达峰碳中和部署要求，促进资源能源节约集约利用，推广绿色低碳生产方式，开展绿色系列创建和示范，加快构建高效、清洁、低碳、循环的绿色制造体系。</w:t>
      </w:r>
    </w:p>
    <w:p>
      <w:pPr>
        <w:spacing w:line="587" w:lineRule="exact"/>
        <w:ind w:firstLine="640" w:firstLineChars="200"/>
        <w:rPr>
          <w:rFonts w:ascii="Times" w:hAnsi="Times" w:eastAsia="方正楷体_GBK" w:cs="Times New Roman"/>
          <w:sz w:val="32"/>
          <w:szCs w:val="32"/>
        </w:rPr>
      </w:pPr>
      <w:r>
        <w:rPr>
          <w:rFonts w:ascii="Times New Roman" w:hAnsi="Times New Roman" w:eastAsia="方正楷体_GBK" w:cs="Times New Roman"/>
          <w:sz w:val="32"/>
          <w:szCs w:val="32"/>
        </w:rPr>
        <w:t>1</w:t>
      </w:r>
      <w:r>
        <w:rPr>
          <w:rFonts w:hint="eastAsia" w:ascii="Times New Roman" w:hAnsi="Times New Roman" w:eastAsia="方正楷体_GBK" w:cs="Times New Roman"/>
          <w:sz w:val="32"/>
          <w:szCs w:val="32"/>
        </w:rPr>
        <w:t>9</w:t>
      </w:r>
      <w:r>
        <w:rPr>
          <w:rFonts w:ascii="Times New Roman" w:hAnsi="Times New Roman" w:eastAsia="方正楷体_GBK" w:cs="Times New Roman"/>
          <w:sz w:val="32"/>
          <w:szCs w:val="32"/>
        </w:rPr>
        <w:t>、提高资源能源利用效率水平。</w:t>
      </w:r>
      <w:r>
        <w:rPr>
          <w:rFonts w:ascii="Times New Roman" w:hAnsi="Times New Roman" w:eastAsia="方正仿宋_GBK" w:cs="Times New Roman"/>
          <w:sz w:val="32"/>
          <w:szCs w:val="32"/>
        </w:rPr>
        <w:t>加强高耗能高排放项目准入管理，健全遏制“两高”项目盲目发展的监管体系，对存量“两高”项目实行清单化、动态化的台账管理。开展煤炭消费减量替代，推进建材、</w:t>
      </w:r>
      <w:r>
        <w:rPr>
          <w:rFonts w:hint="eastAsia" w:ascii="Times New Roman" w:hAnsi="Times New Roman" w:eastAsia="方正仿宋_GBK" w:cs="Times New Roman"/>
          <w:sz w:val="32"/>
          <w:szCs w:val="32"/>
        </w:rPr>
        <w:t>有色金属</w:t>
      </w:r>
      <w:r>
        <w:rPr>
          <w:rFonts w:ascii="Times New Roman" w:hAnsi="Times New Roman" w:eastAsia="方正仿宋_GBK" w:cs="Times New Roman"/>
          <w:sz w:val="32"/>
          <w:szCs w:val="32"/>
        </w:rPr>
        <w:t>等重点行业节能降耗，加强对高耗能企业节能监察，加快淘汰落后产能。推动煤炭等化石能源清洁高效利用，推进太阳能、风能等可再生能源利用，提高非化石能源消费占比。灵活推进存量土地清理盘活。树立“亩产论英雄”综合评价机制，强化亩均投资、亩均产值和亩均税收考核。严格水资源“三条红线”管理制度，推进水资源高效循环利用。推进再制造产业化，培育资源综合利用骨干企业，建成国家级资源综合利用示范基地。到2025年，单位工业增加值能耗、单位工业增加值水耗持续下降，一般工业固废资源综合利用率保持在95%以上。</w:t>
      </w:r>
      <w:r>
        <w:rPr>
          <w:rFonts w:ascii="Times" w:hAnsi="Times" w:eastAsia="方正楷体_GBK" w:cs="Times New Roman"/>
          <w:sz w:val="32"/>
          <w:szCs w:val="32"/>
        </w:rPr>
        <w:t>（市发改委、市工</w:t>
      </w:r>
      <w:r>
        <w:rPr>
          <w:rFonts w:hint="eastAsia" w:ascii="Times" w:hAnsi="Times" w:eastAsia="方正楷体_GBK" w:cs="Times New Roman"/>
          <w:sz w:val="32"/>
          <w:szCs w:val="32"/>
        </w:rPr>
        <w:t>信</w:t>
      </w:r>
      <w:r>
        <w:rPr>
          <w:rFonts w:ascii="Times" w:hAnsi="Times" w:eastAsia="方正楷体_GBK" w:cs="Times New Roman"/>
          <w:sz w:val="32"/>
          <w:szCs w:val="32"/>
        </w:rPr>
        <w:t>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市生态环境局、市自规局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20</w:t>
      </w:r>
      <w:r>
        <w:rPr>
          <w:rFonts w:ascii="Times New Roman" w:hAnsi="Times New Roman" w:eastAsia="方正楷体_GBK" w:cs="Times New Roman"/>
          <w:sz w:val="32"/>
          <w:szCs w:val="32"/>
        </w:rPr>
        <w:t>、推广绿色低碳循环生产方式。</w:t>
      </w:r>
      <w:r>
        <w:rPr>
          <w:rFonts w:ascii="Times New Roman" w:hAnsi="Times New Roman" w:eastAsia="方正仿宋_GBK" w:cs="Times New Roman"/>
          <w:sz w:val="32"/>
          <w:szCs w:val="32"/>
        </w:rPr>
        <w:t>鼓励企业开展绿色设计，优先选择使用绿色清洁能源和原材料，提高生产制造过程绿色化水平。全面推行清洁生产，依法在有关行业实施强制性清洁生产审核。通过关停取缔和升级改造等手段，加强“散乱污”企业整治和治理。加快实施排污许可制度，抓好固定污染源环境监管。以市级以上产业园区为重点完善产业生态链接，加强余热余能回收利用、能量梯级利用、水资源循环利用、废弃物综合利用。推动在役工业燃煤锅炉、窑炉实施清洁能源替代、淘汰和提标改造。加大政府绿色采购力度，加强对企业和居民采购绿色产品的引导。实施农药兽药化肥使用减量增效工程，确保高效低毒低残留农药使用面积占比不低于90%，实现兽用抗菌药物使用量和化肥农药使用量“零增长”。</w:t>
      </w:r>
      <w:r>
        <w:rPr>
          <w:rFonts w:ascii="Times" w:hAnsi="Times" w:eastAsia="方正楷体_GBK" w:cs="Times New Roman"/>
          <w:sz w:val="32"/>
          <w:szCs w:val="32"/>
        </w:rPr>
        <w:t>（市发改委</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市工</w:t>
      </w:r>
      <w:r>
        <w:rPr>
          <w:rFonts w:hint="eastAsia" w:ascii="Times" w:hAnsi="Times" w:eastAsia="方正楷体_GBK" w:cs="Times New Roman"/>
          <w:sz w:val="32"/>
          <w:szCs w:val="32"/>
        </w:rPr>
        <w:t>信</w:t>
      </w:r>
      <w:r>
        <w:rPr>
          <w:rFonts w:ascii="Times" w:hAnsi="Times" w:eastAsia="方正楷体_GBK" w:cs="Times New Roman"/>
          <w:sz w:val="32"/>
          <w:szCs w:val="32"/>
        </w:rPr>
        <w:t>局、市农业农村局、市生态环境局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sz w:val="32"/>
          <w:szCs w:val="32"/>
        </w:rPr>
        <w:t>21</w:t>
      </w:r>
      <w:r>
        <w:rPr>
          <w:rFonts w:ascii="Times New Roman" w:hAnsi="Times New Roman" w:eastAsia="方正楷体_GBK" w:cs="Times New Roman"/>
          <w:sz w:val="32"/>
          <w:szCs w:val="32"/>
        </w:rPr>
        <w:t>、大力开展绿色系列创建和示范。</w:t>
      </w:r>
      <w:r>
        <w:rPr>
          <w:rFonts w:ascii="Times New Roman" w:hAnsi="Times New Roman" w:eastAsia="方正仿宋_GBK" w:cs="Times New Roman"/>
          <w:sz w:val="32"/>
          <w:szCs w:val="32"/>
        </w:rPr>
        <w:t>推进绿色产品开发，鼓励企业全面按国家绿色产品评价标准开发生产绿色产品，创建一批绿色设计示范企业。在电子信息、装备制造、纺织、建材等重点制造领域选择一批基础好、代表性强的企业开展绿色工厂创建，实现工厂绿色发展。支持高新区和沿海经济区实施绿色化、循环化和生态化改造，积极争创省级以上绿色园区。以行业龙头企业为核心，鼓励企业开展绿色供应链试点，创建绿色供应链管理示范企业，提升企业绿色生产管理水平。到2025年，创建10家省级以上绿色工厂。</w:t>
      </w:r>
      <w:r>
        <w:rPr>
          <w:rFonts w:ascii="Times" w:hAnsi="Times" w:eastAsia="方正楷体_GBK" w:cs="Times New Roman"/>
          <w:sz w:val="32"/>
          <w:szCs w:val="32"/>
        </w:rPr>
        <w:t>（市工</w:t>
      </w:r>
      <w:r>
        <w:rPr>
          <w:rFonts w:hint="eastAsia" w:ascii="Times" w:hAnsi="Times" w:eastAsia="方正楷体_GBK" w:cs="Times New Roman"/>
          <w:sz w:val="32"/>
          <w:szCs w:val="32"/>
        </w:rPr>
        <w:t>信</w:t>
      </w:r>
      <w:r>
        <w:rPr>
          <w:rFonts w:ascii="Times" w:hAnsi="Times" w:eastAsia="方正楷体_GBK" w:cs="Times New Roman"/>
          <w:sz w:val="32"/>
          <w:szCs w:val="32"/>
        </w:rPr>
        <w:t>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市市场监管局、市生态环境局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20" w:name="_Toc30034"/>
      <w:r>
        <w:rPr>
          <w:rStyle w:val="44"/>
          <w:rFonts w:hint="default" w:ascii="Times New Roman" w:hAnsi="Times New Roman" w:eastAsia="方正楷体_GBK"/>
          <w:b w:val="0"/>
          <w:bCs/>
          <w:spacing w:val="8"/>
          <w:kern w:val="0"/>
          <w:sz w:val="32"/>
          <w:szCs w:val="20"/>
          <w:lang w:bidi="bo-CN"/>
        </w:rPr>
        <w:t>（七）质量品牌提升行动</w:t>
      </w:r>
      <w:bookmarkEnd w:id="20"/>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深化质量强市建设，引导企业加强全面质量管理，加强质量认证体系和标准体系建设，提高产品的可靠性，增强中高端产品和优质服务有效供给，形成一批具有核心竞争力、享誉全省乃至全国的质量品牌。</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sz w:val="32"/>
          <w:szCs w:val="32"/>
        </w:rPr>
        <w:t>22</w:t>
      </w:r>
      <w:r>
        <w:rPr>
          <w:rFonts w:ascii="Times New Roman" w:hAnsi="Times New Roman" w:eastAsia="方正楷体_GBK" w:cs="Times New Roman"/>
          <w:sz w:val="32"/>
          <w:szCs w:val="32"/>
        </w:rPr>
        <w:t>、加强企业质量品牌管理。</w:t>
      </w:r>
      <w:r>
        <w:rPr>
          <w:rFonts w:ascii="Times New Roman" w:hAnsi="Times New Roman" w:eastAsia="方正仿宋_GBK" w:cs="Times New Roman"/>
          <w:sz w:val="32"/>
          <w:szCs w:val="32"/>
        </w:rPr>
        <w:t>鼓励企业推广应用全面质量管理、六西格玛、精益管理等国际通用质量管理方法，并结合企业发展特色加以改造提升。在龙头企业和大型企业中推行卓越绩效管理标准等先进质量管理模式，到2023年推行率达到100%。落实质量责任追溯制度，支持企业提高产品全生命周期质量追溯能力。组织规上企业开展质量管理培训，弘扬企业家精神和工匠精神，打造质量标杆企业。围绕优势产业和优质企业，打造东台绿色智造特色品牌。到 2025 年，培育省长质量奖（提名奖）2个、盐城市长质量奖（提名奖）5个，评定东台市长质量奖（提名奖）20个，企业首席质量官覆盖率规上企业100%、中小微企业50%，“江苏精品”认证企业5家。</w:t>
      </w:r>
      <w:r>
        <w:rPr>
          <w:rFonts w:ascii="Times" w:hAnsi="Times" w:eastAsia="方正楷体_GBK" w:cs="Times New Roman"/>
          <w:sz w:val="32"/>
          <w:szCs w:val="32"/>
        </w:rPr>
        <w:t>（市市场监管局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市工</w:t>
      </w:r>
      <w:r>
        <w:rPr>
          <w:rFonts w:hint="eastAsia" w:ascii="Times" w:hAnsi="Times" w:eastAsia="方正楷体_GBK" w:cs="Times New Roman"/>
          <w:sz w:val="32"/>
          <w:szCs w:val="32"/>
        </w:rPr>
        <w:t>信</w:t>
      </w:r>
      <w:r>
        <w:rPr>
          <w:rFonts w:ascii="Times" w:hAnsi="Times" w:eastAsia="方正楷体_GBK" w:cs="Times New Roman"/>
          <w:sz w:val="32"/>
          <w:szCs w:val="32"/>
        </w:rPr>
        <w:t>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w:t>
      </w:r>
      <w:r>
        <w:rPr>
          <w:rFonts w:hint="eastAsia" w:ascii="Times New Roman" w:hAnsi="Times New Roman" w:eastAsia="方正楷体_GBK" w:cs="Times New Roman"/>
          <w:sz w:val="32"/>
          <w:szCs w:val="32"/>
        </w:rPr>
        <w:t>3</w:t>
      </w:r>
      <w:r>
        <w:rPr>
          <w:rFonts w:ascii="Times New Roman" w:hAnsi="Times New Roman" w:eastAsia="方正楷体_GBK" w:cs="Times New Roman"/>
          <w:sz w:val="32"/>
          <w:szCs w:val="32"/>
        </w:rPr>
        <w:t>、加强质量认证体系建设。</w:t>
      </w:r>
      <w:r>
        <w:rPr>
          <w:rFonts w:ascii="Times New Roman" w:hAnsi="Times New Roman" w:eastAsia="方正仿宋_GBK" w:cs="Times New Roman"/>
          <w:sz w:val="32"/>
          <w:szCs w:val="32"/>
        </w:rPr>
        <w:t>开展企业质量诊断服务活动，普及和推广先进质量管理工具和质量认证知识。开展企业质量认证调查，引导各类企业尤其是中小微企业获得质量认证。发挥强制性认证“保底线”作用，对涉及安全、健康、环保等方面的产品依法实施强制性认证。鼓励和推动企业开展质量管理、环境管理、职业健康、能源管理等体系综合认证。培育发展计量测试、检验检测、认证认可等专业性服务和机构，鼓励第三方开展服务，提升行业综合服务能力。通过3年左右的努力，全市绿色智造企业尤其是中小微企业的质量管理能力明显增强，质量认证数量大幅增加。深化规上工业企业质量信用A级全覆盖的效果，到2025年培育省工业企业质量信用 AAA 级企业1家、AA级企业5家。</w:t>
      </w:r>
      <w:r>
        <w:rPr>
          <w:rFonts w:ascii="Times" w:hAnsi="Times" w:eastAsia="方正楷体_GBK" w:cs="Times New Roman"/>
          <w:sz w:val="32"/>
          <w:szCs w:val="32"/>
        </w:rPr>
        <w:t>（市市场监管局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市发改委</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sz w:val="32"/>
          <w:szCs w:val="32"/>
        </w:rPr>
        <w:t>24</w:t>
      </w:r>
      <w:r>
        <w:rPr>
          <w:rFonts w:ascii="Times New Roman" w:hAnsi="Times New Roman" w:eastAsia="方正楷体_GBK" w:cs="Times New Roman"/>
          <w:sz w:val="32"/>
          <w:szCs w:val="32"/>
        </w:rPr>
        <w:t>、加快绿色智造标准体系建设。</w:t>
      </w:r>
      <w:r>
        <w:rPr>
          <w:rFonts w:ascii="Times New Roman" w:hAnsi="Times New Roman" w:eastAsia="方正仿宋_GBK" w:cs="Times New Roman"/>
          <w:sz w:val="32"/>
          <w:szCs w:val="32"/>
        </w:rPr>
        <w:t>全面实施企业标准自我声明公开和监督制度。开展绿色智造对标达标活动，鼓励企业主动制定和实施先进标准。支持企业参与绿色智造行业标准、团体标准、地方标准和国家标准</w:t>
      </w:r>
      <w:r>
        <w:rPr>
          <w:rFonts w:hint="eastAsia"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修订，形成有自主知识产权的技术和标准。推动绿色智造技术研发、专利申请、标准研制和产业应用协同发展，用先进标准引领产品和服务质量提升。积极组织符合条件的企业申报知识产权示范企业和优势企业。到2025年，全市企事业单位主导或参与绿色智造各项标准制修订35项以上、推进相关标准化试点示范建设项目10个以上，具有自主知识产权和自主品牌的制造业企业占比达到50%。</w:t>
      </w:r>
      <w:r>
        <w:rPr>
          <w:rFonts w:ascii="Times" w:hAnsi="Times" w:eastAsia="方正楷体_GBK" w:cs="Times New Roman"/>
          <w:sz w:val="32"/>
          <w:szCs w:val="32"/>
        </w:rPr>
        <w:t>（市市场监管局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市科技局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21" w:name="_Toc24054"/>
      <w:r>
        <w:rPr>
          <w:rStyle w:val="44"/>
          <w:rFonts w:hint="default" w:ascii="Times New Roman" w:hAnsi="Times New Roman" w:eastAsia="方正楷体_GBK"/>
          <w:b w:val="0"/>
          <w:bCs/>
          <w:spacing w:val="8"/>
          <w:kern w:val="0"/>
          <w:sz w:val="32"/>
          <w:szCs w:val="20"/>
          <w:lang w:bidi="bo-CN"/>
        </w:rPr>
        <w:t>（八）开放合作共赢行动</w:t>
      </w:r>
      <w:bookmarkEnd w:id="21"/>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坚持引进来与走出去更好结合，积极对接</w:t>
      </w:r>
      <w:r>
        <w:rPr>
          <w:rFonts w:hint="eastAsia" w:ascii="Times New Roman" w:hAnsi="Times New Roman" w:eastAsia="方正仿宋_GBK" w:cs="Times New Roman"/>
          <w:sz w:val="32"/>
          <w:szCs w:val="32"/>
        </w:rPr>
        <w:t>江苏</w:t>
      </w:r>
      <w:r>
        <w:rPr>
          <w:rFonts w:ascii="Times New Roman" w:hAnsi="Times New Roman" w:eastAsia="方正仿宋_GBK" w:cs="Times New Roman"/>
          <w:sz w:val="32"/>
          <w:szCs w:val="32"/>
        </w:rPr>
        <w:t>沿海</w:t>
      </w:r>
      <w:r>
        <w:rPr>
          <w:rFonts w:hint="eastAsia" w:ascii="Times New Roman" w:hAnsi="Times New Roman" w:eastAsia="方正仿宋_GBK" w:cs="Times New Roman"/>
          <w:sz w:val="32"/>
          <w:szCs w:val="32"/>
        </w:rPr>
        <w:t>地区</w:t>
      </w:r>
      <w:r>
        <w:rPr>
          <w:rFonts w:ascii="Times New Roman" w:hAnsi="Times New Roman" w:eastAsia="方正仿宋_GBK" w:cs="Times New Roman"/>
          <w:sz w:val="32"/>
          <w:szCs w:val="32"/>
        </w:rPr>
        <w:t>发展、长三角区域一体化发展、“一带一路”建设</w:t>
      </w:r>
      <w:r>
        <w:rPr>
          <w:rFonts w:hint="eastAsia" w:ascii="Times New Roman" w:hAnsi="Times New Roman" w:eastAsia="方正仿宋_GBK" w:cs="Times New Roman"/>
          <w:sz w:val="32"/>
          <w:szCs w:val="32"/>
        </w:rPr>
        <w:t>等重大</w:t>
      </w:r>
      <w:r>
        <w:rPr>
          <w:rFonts w:ascii="Times New Roman" w:hAnsi="Times New Roman" w:eastAsia="方正仿宋_GBK" w:cs="Times New Roman"/>
          <w:sz w:val="32"/>
          <w:szCs w:val="32"/>
        </w:rPr>
        <w:t>战略，更好利用国际国内两个市场、两种资源，更高水平服务“双循环”新发展格局。</w:t>
      </w:r>
    </w:p>
    <w:p>
      <w:pPr>
        <w:spacing w:line="587" w:lineRule="exact"/>
        <w:ind w:firstLine="640" w:firstLineChars="200"/>
        <w:rPr>
          <w:rFonts w:ascii="Times" w:hAnsi="Times" w:eastAsia="方正楷体_GBK" w:cs="Times New Roman"/>
          <w:sz w:val="32"/>
          <w:szCs w:val="32"/>
        </w:rPr>
      </w:pPr>
      <w:r>
        <w:rPr>
          <w:rFonts w:hint="eastAsia" w:ascii="Times New Roman" w:hAnsi="Times New Roman" w:eastAsia="方正楷体_GBK" w:cs="Times New Roman"/>
          <w:kern w:val="0"/>
          <w:sz w:val="32"/>
          <w:szCs w:val="32"/>
        </w:rPr>
        <w:t>25</w:t>
      </w:r>
      <w:r>
        <w:rPr>
          <w:rFonts w:ascii="Times New Roman" w:hAnsi="Times New Roman" w:eastAsia="方正楷体_GBK" w:cs="Times New Roman"/>
          <w:kern w:val="0"/>
          <w:sz w:val="32"/>
          <w:szCs w:val="32"/>
        </w:rPr>
        <w:t>、加快建设沿海高质量发展示范区</w:t>
      </w:r>
      <w:r>
        <w:rPr>
          <w:rFonts w:ascii="Times New Roman" w:hAnsi="Times New Roman" w:eastAsia="方正仿宋_GBK" w:cs="Times New Roman"/>
          <w:sz w:val="32"/>
          <w:szCs w:val="32"/>
        </w:rPr>
        <w:t>。强化港产城联动，抓好现代流通体系硬件和软件建设，打造滨海风貌城镇带。主动承接重大生产力布局，加快新能源产业园、绿色食品产业园、大健康双创园、健康科技产业园等特色园区建设，打造高质量发展经济带。整合湿地、森林、渔港等资源要素，全面提升蹲门湾、巴斗村、龙王古寺等景区品质，支持黄海森林公园、条子泥景区争创国家5A级旅游景区，建设一批具有海滨风情的地标项目。深化“风光渔互补”模式探索，科学布局海陆风电、光伏发电等清洁能源，打造东部沿海能源互联网示范基地。以“美丽岸线”建设与保护为统领，强化沿海战略资源管控，推动沿海产业绿色低碳循环发展，</w:t>
      </w:r>
      <w:r>
        <w:rPr>
          <w:rFonts w:ascii="Times New Roman" w:hAnsi="Times New Roman" w:eastAsia="方正仿宋_GBK" w:cs="Times New Roman"/>
          <w:sz w:val="32"/>
          <w:szCs w:val="32"/>
          <w:lang w:bidi="ar"/>
        </w:rPr>
        <w:t>打造沿海生态风光带</w:t>
      </w:r>
      <w:r>
        <w:rPr>
          <w:rFonts w:ascii="Times New Roman" w:hAnsi="Times New Roman" w:eastAsia="方正仿宋_GBK" w:cs="Times New Roman"/>
          <w:sz w:val="32"/>
          <w:szCs w:val="32"/>
        </w:rPr>
        <w:t>。</w:t>
      </w:r>
      <w:r>
        <w:rPr>
          <w:rFonts w:ascii="Times" w:hAnsi="Times" w:eastAsia="方正楷体_GBK" w:cs="Times New Roman"/>
          <w:sz w:val="32"/>
          <w:szCs w:val="32"/>
        </w:rPr>
        <w:t>（市发改委</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市文</w:t>
      </w:r>
      <w:r>
        <w:rPr>
          <w:rFonts w:hint="eastAsia" w:ascii="Times" w:hAnsi="Times" w:eastAsia="方正楷体_GBK" w:cs="Times New Roman"/>
          <w:sz w:val="32"/>
          <w:szCs w:val="32"/>
        </w:rPr>
        <w:t>广</w:t>
      </w:r>
      <w:r>
        <w:rPr>
          <w:rFonts w:ascii="Times" w:hAnsi="Times" w:eastAsia="方正楷体_GBK" w:cs="Times New Roman"/>
          <w:sz w:val="32"/>
          <w:szCs w:val="32"/>
        </w:rPr>
        <w:t>旅局、市生态环境局、市工信局、市住建局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w:hAnsi="Times" w:eastAsia="方正楷体_GBK" w:cs="Times New Roman"/>
          <w:sz w:val="32"/>
          <w:szCs w:val="32"/>
        </w:rPr>
      </w:pPr>
      <w:r>
        <w:rPr>
          <w:rFonts w:ascii="Times New Roman" w:hAnsi="Times New Roman" w:eastAsia="方正楷体_GBK" w:cs="Times New Roman"/>
          <w:kern w:val="0"/>
          <w:sz w:val="32"/>
          <w:szCs w:val="32"/>
        </w:rPr>
        <w:t>2</w:t>
      </w:r>
      <w:r>
        <w:rPr>
          <w:rFonts w:hint="eastAsia" w:ascii="Times New Roman" w:hAnsi="Times New Roman" w:eastAsia="方正楷体_GBK" w:cs="Times New Roman"/>
          <w:kern w:val="0"/>
          <w:sz w:val="32"/>
          <w:szCs w:val="32"/>
        </w:rPr>
        <w:t>6</w:t>
      </w:r>
      <w:r>
        <w:rPr>
          <w:rFonts w:ascii="Times New Roman" w:hAnsi="Times New Roman" w:eastAsia="方正楷体_GBK" w:cs="Times New Roman"/>
          <w:kern w:val="0"/>
          <w:sz w:val="32"/>
          <w:szCs w:val="32"/>
        </w:rPr>
        <w:t>、全方位融入长三角区域一体化发展。</w:t>
      </w:r>
      <w:r>
        <w:rPr>
          <w:rFonts w:ascii="Times New Roman" w:hAnsi="Times New Roman" w:eastAsia="方正仿宋_GBK" w:cs="Times New Roman"/>
          <w:sz w:val="32"/>
          <w:szCs w:val="32"/>
        </w:rPr>
        <w:t>积极对接长三角区域高校院所，强化与国家技术转移东部中心等科研平台合作，打造科创成果转移转化示范基地。加大共建园区建设力度，深化与上海康桥工业园、青浦工业园、紫竹科学园、崇明森林旅游园区等园区合作，新建一批“区中园”，扩大与上海西郊工业园共建园区范围，建设先进制造业协作基地。扩大沪外蔬菜主供应基地数量和规模，加强供沪农产品配送中心和直销窗口建设，拓展农品精深加工和农旅融合，打造上海菜篮子基地。学习上海品牌医疗、城市建设管理等经验，高水平建设长三角（东台）康养基地。加强同苏南县、市的联系交流，承接产业溢出效应，集聚更多高端发展要素和优质项目。到2025年，每年引进长三角区域产业项目60个以上，当好盐城市融入长三角区域一体化发展的排头兵。</w:t>
      </w:r>
      <w:r>
        <w:rPr>
          <w:rFonts w:ascii="Times" w:hAnsi="Times" w:eastAsia="方正楷体_GBK" w:cs="Times New Roman"/>
          <w:sz w:val="32"/>
          <w:szCs w:val="32"/>
        </w:rPr>
        <w:t>（市发改委</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市商务局、市科技局、市工</w:t>
      </w:r>
      <w:r>
        <w:rPr>
          <w:rFonts w:hint="eastAsia" w:ascii="Times" w:hAnsi="Times" w:eastAsia="方正楷体_GBK" w:cs="Times New Roman"/>
          <w:sz w:val="32"/>
          <w:szCs w:val="32"/>
        </w:rPr>
        <w:t>信</w:t>
      </w:r>
      <w:r>
        <w:rPr>
          <w:rFonts w:ascii="Times" w:hAnsi="Times" w:eastAsia="方正楷体_GBK" w:cs="Times New Roman"/>
          <w:sz w:val="32"/>
          <w:szCs w:val="32"/>
        </w:rPr>
        <w:t>局、市农业农村局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p>
    <w:p>
      <w:pPr>
        <w:spacing w:line="587"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kern w:val="0"/>
          <w:sz w:val="32"/>
          <w:szCs w:val="32"/>
        </w:rPr>
        <w:t>27</w:t>
      </w:r>
      <w:r>
        <w:rPr>
          <w:rFonts w:ascii="Times New Roman" w:hAnsi="Times New Roman" w:eastAsia="方正楷体_GBK" w:cs="Times New Roman"/>
          <w:kern w:val="0"/>
          <w:sz w:val="32"/>
          <w:szCs w:val="32"/>
        </w:rPr>
        <w:t>、积极参与“一带一路”交汇点建设。</w:t>
      </w:r>
      <w:r>
        <w:rPr>
          <w:rFonts w:ascii="Times New Roman" w:hAnsi="Times New Roman" w:eastAsia="方正仿宋_GBK" w:cs="Times New Roman"/>
          <w:sz w:val="32"/>
          <w:szCs w:val="22"/>
        </w:rPr>
        <w:t>全面实施准入前国民待遇加负面清单管理制度，引导外商扩大在</w:t>
      </w:r>
      <w:r>
        <w:rPr>
          <w:rFonts w:ascii="Times New Roman" w:hAnsi="Times New Roman" w:eastAsia="方正仿宋_GBK" w:cs="Times New Roman"/>
          <w:sz w:val="32"/>
          <w:szCs w:val="22"/>
          <w:lang w:val="zh-CN"/>
        </w:rPr>
        <w:t>高端制造、智能制造、绿色制造等</w:t>
      </w:r>
      <w:r>
        <w:rPr>
          <w:rFonts w:ascii="Times New Roman" w:hAnsi="Times New Roman" w:eastAsia="方正仿宋_GBK" w:cs="Times New Roman"/>
          <w:sz w:val="32"/>
          <w:szCs w:val="22"/>
        </w:rPr>
        <w:t>先进制造业领域投资，拓展在数字创意、电子商务、人力资源等生产性服务业领域投资，提升外资综合利用水平。实施外贸质量提升工程，积极发展跨境电商，</w:t>
      </w:r>
      <w:r>
        <w:rPr>
          <w:rFonts w:ascii="Times New Roman" w:hAnsi="Times New Roman" w:eastAsia="方正仿宋_GBK" w:cs="Times New Roman"/>
          <w:kern w:val="0"/>
          <w:sz w:val="32"/>
          <w:szCs w:val="32"/>
        </w:rPr>
        <w:t>鼓励企业使用自主商标参与国际贸易竞争</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方正仿宋_GBK" w:cs="Times New Roman"/>
          <w:sz w:val="32"/>
          <w:szCs w:val="22"/>
        </w:rPr>
        <w:t>促进外经高水平发展，引导有实力的企业在“一带一路”沿线国家和地区设立营销基地、交</w:t>
      </w:r>
      <w:r>
        <w:rPr>
          <w:rFonts w:ascii="Times New Roman" w:hAnsi="Times New Roman" w:eastAsia="仿宋" w:cs="Times New Roman"/>
          <w:color w:val="000000" w:themeColor="text1"/>
          <w:sz w:val="32"/>
          <w:szCs w:val="32"/>
          <w14:textFill>
            <w14:solidFill>
              <w14:schemeClr w14:val="tx1"/>
            </w14:solidFill>
          </w14:textFill>
        </w:rPr>
        <w:t>易中心、展示中心、分拨中心，积极参与中韩产业园建设。常态化组织企业参加进博会、广交会等国内行业展销会和国际性会议会展。到2025年，每年实施3000万美元以上项目2-3个，培育跨国公司地区总部和功能性机构1-2家，实际使用外资年均增长12%以上。</w:t>
      </w:r>
      <w:r>
        <w:rPr>
          <w:rFonts w:ascii="Times" w:hAnsi="Times" w:eastAsia="方正楷体_GBK" w:cs="Times New Roman"/>
          <w:sz w:val="32"/>
          <w:szCs w:val="32"/>
        </w:rPr>
        <w:t>（市商务局</w:t>
      </w:r>
      <w:r>
        <w:rPr>
          <w:rFonts w:hint="eastAsia" w:ascii="Times" w:hAnsi="Times" w:eastAsia="方正楷体_GBK" w:cs="Times New Roman"/>
          <w:sz w:val="32"/>
          <w:szCs w:val="32"/>
          <w:lang w:eastAsia="zh-CN"/>
        </w:rPr>
        <w:t>、</w:t>
      </w:r>
      <w:r>
        <w:rPr>
          <w:rFonts w:ascii="Times" w:hAnsi="Times" w:eastAsia="方正楷体_GBK" w:cs="Times New Roman"/>
          <w:sz w:val="32"/>
          <w:szCs w:val="32"/>
        </w:rPr>
        <w:t>市发改委、市工</w:t>
      </w:r>
      <w:r>
        <w:rPr>
          <w:rFonts w:hint="eastAsia" w:ascii="Times" w:hAnsi="Times" w:eastAsia="方正楷体_GBK" w:cs="Times New Roman"/>
          <w:sz w:val="32"/>
          <w:szCs w:val="32"/>
        </w:rPr>
        <w:t>信</w:t>
      </w:r>
      <w:r>
        <w:rPr>
          <w:rFonts w:ascii="Times" w:hAnsi="Times" w:eastAsia="方正楷体_GBK" w:cs="Times New Roman"/>
          <w:sz w:val="32"/>
          <w:szCs w:val="32"/>
        </w:rPr>
        <w:t>局</w:t>
      </w:r>
      <w:r>
        <w:rPr>
          <w:rFonts w:hint="eastAsia" w:ascii="Times" w:hAnsi="Times" w:eastAsia="方正楷体_GBK" w:cs="Times New Roman"/>
          <w:color w:val="0000FF"/>
          <w:sz w:val="32"/>
          <w:szCs w:val="32"/>
        </w:rPr>
        <w:t>按职责分工负责</w:t>
      </w:r>
      <w:r>
        <w:rPr>
          <w:rFonts w:ascii="Times" w:hAnsi="Times" w:eastAsia="方正楷体_GBK" w:cs="Times New Roman"/>
          <w:sz w:val="32"/>
          <w:szCs w:val="32"/>
        </w:rPr>
        <w:t>）</w:t>
      </w:r>
      <w:r>
        <w:rPr>
          <w:rFonts w:ascii="Times New Roman" w:hAnsi="Times New Roman" w:eastAsia="方正仿宋_GBK" w:cs="Times New Roman"/>
          <w:sz w:val="32"/>
          <w:szCs w:val="32"/>
        </w:rPr>
        <w:t xml:space="preserve"> </w:t>
      </w:r>
    </w:p>
    <w:p>
      <w:pPr>
        <w:pStyle w:val="3"/>
        <w:keepNext/>
        <w:keepLines/>
        <w:widowControl/>
        <w:spacing w:before="120" w:beforeAutospacing="0" w:after="120" w:afterAutospacing="0"/>
        <w:ind w:firstLine="640" w:firstLineChars="200"/>
        <w:rPr>
          <w:rFonts w:hint="default" w:ascii="Times New Roman" w:hAnsi="Times New Roman" w:eastAsia="方正黑体_GBK"/>
          <w:b w:val="0"/>
          <w:sz w:val="32"/>
          <w:szCs w:val="44"/>
          <w:lang w:bidi="bo-CN"/>
        </w:rPr>
      </w:pPr>
      <w:bookmarkStart w:id="22" w:name="_Toc32154"/>
      <w:bookmarkStart w:id="23" w:name="_Toc32147"/>
      <w:r>
        <w:rPr>
          <w:rFonts w:hint="default" w:ascii="Times New Roman" w:hAnsi="Times New Roman" w:eastAsia="方正黑体_GBK"/>
          <w:b w:val="0"/>
          <w:sz w:val="32"/>
          <w:szCs w:val="44"/>
          <w:lang w:bidi="bo-CN"/>
        </w:rPr>
        <w:t>四、保障措施</w:t>
      </w:r>
      <w:bookmarkEnd w:id="22"/>
      <w:bookmarkEnd w:id="23"/>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24" w:name="_Toc29583"/>
      <w:r>
        <w:rPr>
          <w:rStyle w:val="44"/>
          <w:rFonts w:hint="default" w:ascii="Times New Roman" w:hAnsi="Times New Roman" w:eastAsia="方正楷体_GBK"/>
          <w:b w:val="0"/>
          <w:bCs/>
          <w:spacing w:val="8"/>
          <w:kern w:val="0"/>
          <w:sz w:val="32"/>
          <w:szCs w:val="20"/>
          <w:lang w:bidi="bo-CN"/>
        </w:rPr>
        <w:t>（一）加强组织领导</w:t>
      </w:r>
      <w:bookmarkEnd w:id="24"/>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立由市主要领导担任组长的绿色智造工作推进领导小组，领导小组办公室设在发改委。充分发挥领导小组办公室统筹协调作用，强化部门协同、区镇联动。领导小组负责制定年度任务清单，强化项目化编排、责任化落实，推动行动计划按照相关工作节点顺利推进。加强线上线下多媒体宣传引导，发挥行业商协会、产业联盟积极作用，调动全社会参与积极性和主动性。</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25" w:name="_Toc11984"/>
      <w:r>
        <w:rPr>
          <w:rStyle w:val="44"/>
          <w:rFonts w:hint="default" w:ascii="Times New Roman" w:hAnsi="Times New Roman" w:eastAsia="方正楷体_GBK"/>
          <w:b w:val="0"/>
          <w:bCs/>
          <w:spacing w:val="8"/>
          <w:kern w:val="0"/>
          <w:sz w:val="32"/>
          <w:szCs w:val="20"/>
          <w:lang w:bidi="bo-CN"/>
        </w:rPr>
        <w:t>（二）创新要素支持</w:t>
      </w:r>
      <w:bookmarkEnd w:id="25"/>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制定出台绿色智造专项支持政策，发挥财政资金的引导作用，加大对绿色智造体系建设、绿色示范创建等工作的财政支持力度，积极向上争取资金支持。深化亩均效益综合评价，强化企业分类管理，在项目申报、资源使用等方面挂钩实施差别化政策。通过企业综合绩效评价，实施差别电价、差别水价、差别化的土地使用税以及差别化排污权有偿使用等政策，倒逼企业绿色转型。督促相关部门和区镇加大政策解读力度和执行力度，不折不扣兑现奖扶政策。</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26" w:name="_Toc4698"/>
      <w:r>
        <w:rPr>
          <w:rStyle w:val="44"/>
          <w:rFonts w:hint="default" w:ascii="Times New Roman" w:hAnsi="Times New Roman" w:eastAsia="方正楷体_GBK"/>
          <w:b w:val="0"/>
          <w:bCs/>
          <w:spacing w:val="8"/>
          <w:kern w:val="0"/>
          <w:sz w:val="32"/>
          <w:szCs w:val="20"/>
          <w:lang w:bidi="bo-CN"/>
        </w:rPr>
        <w:t>（三）注重项目支撑</w:t>
      </w:r>
      <w:bookmarkEnd w:id="26"/>
    </w:p>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瞄准绿色智造发展重点领域和关键环节，突出规模性、先进性和带动性，科学编制项目清单，加速项目滚动推进。完善项目分级管理和分类服务机制，依法合规予以协调指导和服务推进。全力保障重大项目要素资源需求，强化“拿地即开工、交地即办证、竣工即投产”保障机制，推动项目及时落地见效。选择符合条件的园区、行业和企业，开展绿色智造试点示范，及时总结推广先进经验和典型做法。</w:t>
      </w:r>
    </w:p>
    <w:p>
      <w:pPr>
        <w:pStyle w:val="4"/>
        <w:keepNext/>
        <w:widowControl/>
        <w:adjustRightInd w:val="0"/>
        <w:spacing w:before="60" w:beforeAutospacing="0" w:after="60" w:afterAutospacing="0" w:line="590" w:lineRule="exact"/>
        <w:ind w:firstLine="672" w:firstLineChars="200"/>
        <w:textAlignment w:val="baseline"/>
        <w:rPr>
          <w:rStyle w:val="44"/>
          <w:rFonts w:hint="default" w:ascii="Times New Roman" w:hAnsi="Times New Roman" w:eastAsia="方正楷体_GBK"/>
          <w:b w:val="0"/>
          <w:bCs/>
          <w:spacing w:val="8"/>
          <w:kern w:val="0"/>
          <w:sz w:val="32"/>
          <w:szCs w:val="20"/>
          <w:lang w:bidi="bo-CN"/>
        </w:rPr>
      </w:pPr>
      <w:bookmarkStart w:id="27" w:name="_Toc8455"/>
      <w:r>
        <w:rPr>
          <w:rStyle w:val="44"/>
          <w:rFonts w:hint="default" w:ascii="Times New Roman" w:hAnsi="Times New Roman" w:eastAsia="方正楷体_GBK"/>
          <w:b w:val="0"/>
          <w:bCs/>
          <w:spacing w:val="8"/>
          <w:kern w:val="0"/>
          <w:sz w:val="32"/>
          <w:szCs w:val="20"/>
          <w:lang w:bidi="bo-CN"/>
        </w:rPr>
        <w:t>（四）强化考核评估</w:t>
      </w:r>
      <w:bookmarkEnd w:id="27"/>
    </w:p>
    <w:p>
      <w:pPr>
        <w:spacing w:line="587"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加大督查考核力度，对招商引资、项目推进、营商环境等重点工作实施动态跟踪，以动真碰硬的督查考核推动各项工作落地见效。建立健全多层次工作考核评估机制，综合运用自评估、第三方评估和社会监督评价等方式，推动定量评估与定性评估相配套，多维度科学评估工作效果。加强绿色智造发展综合分析，强化评价考核结果运用，形成促进绿色智造发展的激励约束机制。</w:t>
      </w:r>
    </w:p>
    <w:p>
      <w:pPr>
        <w:pStyle w:val="14"/>
        <w:widowControl/>
        <w:shd w:val="clear" w:color="auto" w:fill="FFFFFF"/>
        <w:adjustRightInd w:val="0"/>
        <w:snapToGrid w:val="0"/>
        <w:spacing w:line="590" w:lineRule="exact"/>
        <w:ind w:firstLine="640" w:firstLineChars="200"/>
        <w:outlineLvl w:val="1"/>
        <w:rPr>
          <w:rStyle w:val="19"/>
          <w:rFonts w:ascii="Times New Roman" w:hAnsi="Times New Roman" w:eastAsia="方正黑体_GBK" w:cs="Times New Roman"/>
          <w:b w:val="0"/>
          <w:bCs/>
          <w:color w:val="000000"/>
          <w:kern w:val="0"/>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pStyle w:val="3"/>
        <w:keepNext/>
        <w:keepLines/>
        <w:widowControl/>
        <w:spacing w:before="120" w:beforeAutospacing="0" w:after="120" w:afterAutospacing="0"/>
        <w:rPr>
          <w:rFonts w:hint="default" w:ascii="Times New Roman" w:hAnsi="Times New Roman" w:eastAsia="方正黑体_GBK"/>
          <w:b w:val="0"/>
          <w:sz w:val="32"/>
          <w:szCs w:val="44"/>
          <w:lang w:bidi="bo-CN"/>
        </w:rPr>
      </w:pPr>
      <w:bookmarkStart w:id="28" w:name="_Toc23750"/>
      <w:bookmarkStart w:id="29" w:name="_Toc7569"/>
      <w:r>
        <w:rPr>
          <w:rFonts w:hint="default" w:ascii="Times New Roman" w:hAnsi="Times New Roman" w:eastAsia="方正黑体_GBK"/>
          <w:b w:val="0"/>
          <w:sz w:val="32"/>
          <w:szCs w:val="44"/>
          <w:lang w:bidi="bo-CN"/>
        </w:rPr>
        <w:t>附件1：《东台市绿色智造五年行动计划（2021-2025年）》重点任务分解表</w:t>
      </w:r>
      <w:bookmarkEnd w:id="28"/>
      <w:bookmarkEnd w:id="29"/>
    </w:p>
    <w:tbl>
      <w:tblPr>
        <w:tblStyle w:val="17"/>
        <w:tblW w:w="13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2246"/>
        <w:gridCol w:w="2141"/>
        <w:gridCol w:w="20"/>
        <w:gridCol w:w="2162"/>
        <w:gridCol w:w="4891"/>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restart"/>
            <w:vAlign w:val="center"/>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序号</w:t>
            </w:r>
          </w:p>
        </w:tc>
        <w:tc>
          <w:tcPr>
            <w:tcW w:w="2246" w:type="dxa"/>
            <w:vMerge w:val="restart"/>
            <w:vAlign w:val="center"/>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重点行动</w:t>
            </w:r>
          </w:p>
        </w:tc>
        <w:tc>
          <w:tcPr>
            <w:tcW w:w="4323" w:type="dxa"/>
            <w:gridSpan w:val="3"/>
            <w:vAlign w:val="center"/>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目标任务</w:t>
            </w:r>
          </w:p>
        </w:tc>
        <w:tc>
          <w:tcPr>
            <w:tcW w:w="4891" w:type="dxa"/>
            <w:vMerge w:val="restart"/>
            <w:vAlign w:val="center"/>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推进举措</w:t>
            </w:r>
          </w:p>
        </w:tc>
        <w:tc>
          <w:tcPr>
            <w:tcW w:w="1799" w:type="dxa"/>
            <w:vMerge w:val="restart"/>
            <w:vAlign w:val="center"/>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p>
        </w:tc>
        <w:tc>
          <w:tcPr>
            <w:tcW w:w="2246" w:type="dxa"/>
            <w:vMerge w:val="continue"/>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p>
        </w:tc>
        <w:tc>
          <w:tcPr>
            <w:tcW w:w="2141" w:type="dxa"/>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2023年</w:t>
            </w:r>
          </w:p>
        </w:tc>
        <w:tc>
          <w:tcPr>
            <w:tcW w:w="2182" w:type="dxa"/>
            <w:gridSpan w:val="2"/>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r>
              <w:rPr>
                <w:rFonts w:ascii="Times New Roman" w:hAnsi="Times New Roman" w:eastAsia="方正黑体_GBK" w:cs="Times New Roman"/>
                <w:bCs/>
                <w:color w:val="000000"/>
                <w:kern w:val="36"/>
                <w:sz w:val="24"/>
              </w:rPr>
              <w:t>2025年</w:t>
            </w:r>
          </w:p>
        </w:tc>
        <w:tc>
          <w:tcPr>
            <w:tcW w:w="4891" w:type="dxa"/>
            <w:vMerge w:val="continue"/>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p>
        </w:tc>
        <w:tc>
          <w:tcPr>
            <w:tcW w:w="1799" w:type="dxa"/>
            <w:vMerge w:val="continue"/>
          </w:tcPr>
          <w:p>
            <w:pPr>
              <w:pStyle w:val="22"/>
              <w:adjustRightInd w:val="0"/>
              <w:snapToGrid w:val="0"/>
              <w:spacing w:line="320" w:lineRule="exact"/>
              <w:ind w:firstLine="0" w:firstLineChars="0"/>
              <w:jc w:val="center"/>
              <w:rPr>
                <w:rFonts w:ascii="Times New Roman" w:hAnsi="Times New Roman" w:eastAsia="方正黑体_GBK" w:cs="Times New Roman"/>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20" w:lineRule="exact"/>
              <w:ind w:right="45"/>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一</w:t>
            </w:r>
          </w:p>
        </w:tc>
        <w:tc>
          <w:tcPr>
            <w:tcW w:w="13259" w:type="dxa"/>
            <w:gridSpan w:val="6"/>
            <w:vAlign w:val="center"/>
          </w:tcPr>
          <w:p>
            <w:pPr>
              <w:spacing w:line="320" w:lineRule="exact"/>
              <w:ind w:right="45"/>
              <w:jc w:val="left"/>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产业布局优化行动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1</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全面提升中心城区首位度</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“一城四区”融合发展格局初步形成，中心城区首位度显著提升</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“一城四区”融合发展格局全面形成，中心城区首位度进一步提升</w:t>
            </w:r>
          </w:p>
        </w:tc>
        <w:tc>
          <w:tcPr>
            <w:tcW w:w="4891" w:type="dxa"/>
            <w:vAlign w:val="center"/>
          </w:tcPr>
          <w:p>
            <w:pPr>
              <w:numPr>
                <w:ilvl w:val="0"/>
                <w:numId w:val="1"/>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统筹老城城市更新、新城高标准建设，加快重大基础与公共服务设施建设，不断提升中心城区空间承载力。</w:t>
            </w:r>
          </w:p>
          <w:p>
            <w:pPr>
              <w:numPr>
                <w:ilvl w:val="0"/>
                <w:numId w:val="1"/>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加快集聚中高端要素，增强中心城区科创策源、金融集聚、开放窗口、产业支撑等整体功能。</w:t>
            </w:r>
          </w:p>
          <w:p>
            <w:pPr>
              <w:numPr>
                <w:ilvl w:val="0"/>
                <w:numId w:val="1"/>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加强各片区精细引导，推动各片区错位联动发展。</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市自规局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市住建局</w:t>
            </w:r>
          </w:p>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各镇区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2</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高标准建设弶港城市副中心</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弶港城市副中心能级</w:t>
            </w:r>
            <w:r>
              <w:rPr>
                <w:rStyle w:val="24"/>
                <w:rFonts w:hint="eastAsia" w:eastAsia="方正仿宋_GBK"/>
                <w:b w:val="0"/>
                <w:bCs w:val="0"/>
                <w:color w:val="000000"/>
                <w:sz w:val="24"/>
              </w:rPr>
              <w:t>明显</w:t>
            </w:r>
            <w:r>
              <w:rPr>
                <w:rStyle w:val="24"/>
                <w:rFonts w:eastAsia="方正仿宋_GBK"/>
                <w:b w:val="0"/>
                <w:bCs w:val="0"/>
                <w:color w:val="000000"/>
                <w:sz w:val="24"/>
              </w:rPr>
              <w:t>提升</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打造长三角区域沿海高质量发展重要节点城市</w:t>
            </w:r>
          </w:p>
        </w:tc>
        <w:tc>
          <w:tcPr>
            <w:tcW w:w="4891" w:type="dxa"/>
            <w:vAlign w:val="center"/>
          </w:tcPr>
          <w:p>
            <w:pPr>
              <w:numPr>
                <w:ilvl w:val="0"/>
                <w:numId w:val="2"/>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强化规划引领，优化“双心双轴三点四片”空间格局。</w:t>
            </w:r>
          </w:p>
          <w:p>
            <w:pPr>
              <w:numPr>
                <w:ilvl w:val="0"/>
                <w:numId w:val="2"/>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推动产业邻里中心、上海瑞金医院东台院区、华东疗养院东台院区、康养基地服务中心、自行车轮滑基地等重大项目开工建设。</w:t>
            </w:r>
          </w:p>
          <w:p>
            <w:pPr>
              <w:numPr>
                <w:ilvl w:val="0"/>
                <w:numId w:val="2"/>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有序推进老镇区有机更新，不断提升空间承载力。</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市住建局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市卫健委</w:t>
            </w:r>
          </w:p>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各镇区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3</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特色打造沿S352省道产业走廊</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产业走廊初步形成</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产业走廊高标准打造</w:t>
            </w:r>
          </w:p>
        </w:tc>
        <w:tc>
          <w:tcPr>
            <w:tcW w:w="4891" w:type="dxa"/>
            <w:vAlign w:val="center"/>
          </w:tcPr>
          <w:p>
            <w:pPr>
              <w:numPr>
                <w:ilvl w:val="0"/>
                <w:numId w:val="3"/>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加快东兴高速东台段及互通工程建设。</w:t>
            </w:r>
          </w:p>
          <w:p>
            <w:pPr>
              <w:numPr>
                <w:ilvl w:val="0"/>
                <w:numId w:val="3"/>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开展临海高速东台段、张皋过江高速延伸至东台段前期研究。</w:t>
            </w:r>
          </w:p>
          <w:p>
            <w:pPr>
              <w:numPr>
                <w:ilvl w:val="0"/>
                <w:numId w:val="3"/>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加强流通、市场、制造等向该轴线节点汇聚。</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市交通局</w:t>
            </w:r>
          </w:p>
          <w:p>
            <w:pPr>
              <w:spacing w:line="320" w:lineRule="exact"/>
              <w:jc w:val="center"/>
              <w:rPr>
                <w:rStyle w:val="24"/>
                <w:rFonts w:hint="eastAsia" w:eastAsia="方正仿宋_GBK"/>
                <w:b w:val="0"/>
                <w:bCs w:val="0"/>
                <w:color w:val="000000"/>
                <w:sz w:val="24"/>
                <w:lang w:eastAsia="zh-CN"/>
              </w:rPr>
            </w:pPr>
            <w:r>
              <w:rPr>
                <w:rStyle w:val="24"/>
                <w:rFonts w:eastAsia="方正仿宋_GBK"/>
                <w:b w:val="0"/>
                <w:bCs w:val="0"/>
                <w:color w:val="000000"/>
                <w:sz w:val="24"/>
              </w:rPr>
              <w:t>各</w:t>
            </w:r>
            <w:r>
              <w:rPr>
                <w:rStyle w:val="24"/>
                <w:rFonts w:hint="eastAsia" w:eastAsia="方正仿宋_GBK"/>
                <w:b w:val="0"/>
                <w:bCs w:val="0"/>
                <w:color w:val="000000"/>
                <w:sz w:val="24"/>
                <w:lang w:eastAsia="zh-CN"/>
              </w:rPr>
              <w:t>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20" w:lineRule="exact"/>
              <w:ind w:right="45"/>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二</w:t>
            </w:r>
          </w:p>
        </w:tc>
        <w:tc>
          <w:tcPr>
            <w:tcW w:w="13259" w:type="dxa"/>
            <w:gridSpan w:val="6"/>
            <w:vAlign w:val="center"/>
          </w:tcPr>
          <w:p>
            <w:pPr>
              <w:spacing w:line="320" w:lineRule="exact"/>
              <w:ind w:right="45"/>
              <w:jc w:val="left"/>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载体平台建设行动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4</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精准优化产业园区功能定位</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经济开发区、高新区、沿海经济区</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全口径工业开票分别达到700亿元、300亿元、250亿元</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经济开发区、高新区、沿海经济区</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全口径工业开票分别达到1000亿元、550亿元、400亿元</w:t>
            </w:r>
          </w:p>
        </w:tc>
        <w:tc>
          <w:tcPr>
            <w:tcW w:w="4891" w:type="dxa"/>
            <w:vAlign w:val="center"/>
          </w:tcPr>
          <w:p>
            <w:pPr>
              <w:numPr>
                <w:ilvl w:val="0"/>
                <w:numId w:val="4"/>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经济开发区重点发展电子信息、新材料、智能装备，积极拓展电子商务、科技孵化、数字经济等新业态，打造长三角重要的新兴产业拓展区。</w:t>
            </w:r>
          </w:p>
          <w:p>
            <w:pPr>
              <w:numPr>
                <w:ilvl w:val="0"/>
                <w:numId w:val="4"/>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高新区重点发展高端装备、电子信息产业，大力发展科技金融、信息服务等生产性服务业，打造全省“两业融合”发展示范区。</w:t>
            </w:r>
          </w:p>
          <w:p>
            <w:pPr>
              <w:numPr>
                <w:ilvl w:val="0"/>
                <w:numId w:val="4"/>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沿海经济区重点发展大健康、新能源、新装备制造及应用产业，打造沿海高质量发展增长极。</w:t>
            </w:r>
          </w:p>
        </w:tc>
        <w:tc>
          <w:tcPr>
            <w:tcW w:w="1799" w:type="dxa"/>
            <w:vAlign w:val="center"/>
          </w:tcPr>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市发改委</w:t>
            </w:r>
          </w:p>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市工信局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市商务局</w:t>
            </w:r>
          </w:p>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经济开发区</w:t>
            </w:r>
          </w:p>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沿海经济区</w:t>
            </w:r>
          </w:p>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5</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加强高能级载体平台打造</w:t>
            </w:r>
          </w:p>
        </w:tc>
        <w:tc>
          <w:tcPr>
            <w:tcW w:w="4323" w:type="dxa"/>
            <w:gridSpan w:val="3"/>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经济开发区创建国家级经开区，高新区创成省级高新区，沿海经济区创成盐城市4A级园区；跨境电商产业园创建省级跨境电商示范园区；创建省级示范物流园区；西溪景区创建省级夜间文旅消费集聚区；科技服务业集聚区创建省级现代服务业高质量发展集聚示范区</w:t>
            </w:r>
          </w:p>
        </w:tc>
        <w:tc>
          <w:tcPr>
            <w:tcW w:w="4891" w:type="dxa"/>
            <w:vAlign w:val="center"/>
          </w:tcPr>
          <w:p>
            <w:pPr>
              <w:numPr>
                <w:ilvl w:val="0"/>
                <w:numId w:val="5"/>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对标创建标杆、对表创建要求，统筹加快基础设施与公共设施建设，强化龙头企业和重大产业项目招引。</w:t>
            </w:r>
          </w:p>
          <w:p>
            <w:pPr>
              <w:spacing w:line="320" w:lineRule="exact"/>
              <w:jc w:val="left"/>
              <w:rPr>
                <w:rFonts w:ascii="Times New Roman" w:hAnsi="Times New Roman" w:cs="Times New Roman"/>
                <w:sz w:val="24"/>
              </w:rPr>
            </w:pPr>
            <w:r>
              <w:rPr>
                <w:rStyle w:val="24"/>
                <w:rFonts w:eastAsia="方正仿宋_GBK"/>
                <w:b w:val="0"/>
                <w:bCs w:val="0"/>
                <w:color w:val="000000"/>
                <w:sz w:val="24"/>
              </w:rPr>
              <w:t>2、依托内河港口、重要交通道口，打造建设一批生产性物流园区和生活性物流园。</w:t>
            </w:r>
          </w:p>
          <w:p>
            <w:pPr>
              <w:numPr>
                <w:ilvl w:val="255"/>
                <w:numId w:val="0"/>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3、面向绿色智造重点产业、关键领域，谋划一批“新而活、特而专”的高能级战略平台。</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市商务局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市文广旅局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6</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创新载体平台管理运营</w:t>
            </w:r>
          </w:p>
        </w:tc>
        <w:tc>
          <w:tcPr>
            <w:tcW w:w="4323" w:type="dxa"/>
            <w:gridSpan w:val="3"/>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每年盘活土地1000亩、厂房20万平方米</w:t>
            </w:r>
          </w:p>
        </w:tc>
        <w:tc>
          <w:tcPr>
            <w:tcW w:w="4891" w:type="dxa"/>
            <w:vAlign w:val="center"/>
          </w:tcPr>
          <w:p>
            <w:pPr>
              <w:numPr>
                <w:ilvl w:val="0"/>
                <w:numId w:val="6"/>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加快园区的去行政化和市场化改革，探索“管委会+公司”管理模式、人事岗位聘用制。</w:t>
            </w:r>
          </w:p>
          <w:p>
            <w:pPr>
              <w:numPr>
                <w:ilvl w:val="0"/>
                <w:numId w:val="6"/>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深化“一区多园”发展模式，纵深推进园区整合优化工作。</w:t>
            </w:r>
          </w:p>
          <w:p>
            <w:pPr>
              <w:numPr>
                <w:ilvl w:val="0"/>
                <w:numId w:val="6"/>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搭建投资开发建设和产业引导基金平台，探索实行“平台+智库+资本”联动发展模式。</w:t>
            </w:r>
          </w:p>
          <w:p>
            <w:pPr>
              <w:spacing w:line="320" w:lineRule="exact"/>
              <w:jc w:val="left"/>
              <w:rPr>
                <w:rFonts w:ascii="Times New Roman" w:hAnsi="Times New Roman" w:cs="Times New Roman"/>
                <w:sz w:val="24"/>
              </w:rPr>
            </w:pPr>
            <w:r>
              <w:rPr>
                <w:rStyle w:val="24"/>
                <w:rFonts w:eastAsia="方正仿宋_GBK"/>
                <w:b w:val="0"/>
                <w:bCs w:val="0"/>
                <w:color w:val="000000"/>
                <w:sz w:val="24"/>
              </w:rPr>
              <w:t>4、盘活存量资源，持续开展“三项清理”。</w:t>
            </w:r>
          </w:p>
        </w:tc>
        <w:tc>
          <w:tcPr>
            <w:tcW w:w="1799" w:type="dxa"/>
            <w:vAlign w:val="center"/>
          </w:tcPr>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市工信局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市自规局</w:t>
            </w:r>
          </w:p>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各镇区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7</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推动重大项目招引建设</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招引5亿元以上项目25个，突破50亿元、100亿元重大项目4个</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招引5亿元以上项目40个，突破50亿元、100亿元重大项目5个</w:t>
            </w:r>
          </w:p>
        </w:tc>
        <w:tc>
          <w:tcPr>
            <w:tcW w:w="4891" w:type="dxa"/>
            <w:vAlign w:val="center"/>
          </w:tcPr>
          <w:p>
            <w:pPr>
              <w:numPr>
                <w:ilvl w:val="0"/>
                <w:numId w:val="7"/>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紧盯上市公司、大型民企、外资企业，主攻长三角、珠三角和京津冀区域，大力招引优质项目和头部企业。</w:t>
            </w:r>
          </w:p>
          <w:p>
            <w:pPr>
              <w:numPr>
                <w:ilvl w:val="0"/>
                <w:numId w:val="7"/>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积极争取重特大项目列入省市重大项目清单，在土地、资金、政策等方面给予重点保障。</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3、完善重大项目分级管理和目标责任制，推行项目服务负责人领办制，落实项目服务“全周期跟踪、全流程闭环”，努力形成项目从开工到投产的“5个月新常态”。</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hint="eastAsia" w:eastAsia="方正仿宋_GBK"/>
                <w:b w:val="0"/>
                <w:bCs w:val="0"/>
                <w:color w:val="000000"/>
                <w:sz w:val="24"/>
                <w:lang w:eastAsia="zh-CN"/>
              </w:rPr>
            </w:pPr>
            <w:r>
              <w:rPr>
                <w:rStyle w:val="24"/>
                <w:rFonts w:eastAsia="方正仿宋_GBK"/>
                <w:b w:val="0"/>
                <w:bCs w:val="0"/>
                <w:color w:val="000000"/>
                <w:sz w:val="24"/>
              </w:rPr>
              <w:t>市</w:t>
            </w:r>
            <w:r>
              <w:rPr>
                <w:rStyle w:val="24"/>
                <w:rFonts w:hint="eastAsia" w:eastAsia="方正仿宋_GBK"/>
                <w:b w:val="0"/>
                <w:bCs w:val="0"/>
                <w:color w:val="000000"/>
                <w:sz w:val="24"/>
                <w:lang w:eastAsia="zh-CN"/>
              </w:rPr>
              <w:t>工信局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市行政审批局</w:t>
            </w:r>
          </w:p>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各镇区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20" w:lineRule="exact"/>
              <w:ind w:right="45"/>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三</w:t>
            </w:r>
          </w:p>
        </w:tc>
        <w:tc>
          <w:tcPr>
            <w:tcW w:w="13259" w:type="dxa"/>
            <w:gridSpan w:val="6"/>
            <w:vAlign w:val="center"/>
          </w:tcPr>
          <w:p>
            <w:pPr>
              <w:spacing w:line="320" w:lineRule="exact"/>
              <w:ind w:right="45"/>
              <w:jc w:val="left"/>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市场主体培育行动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20" w:lineRule="exact"/>
              <w:ind w:right="45"/>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8</w:t>
            </w:r>
          </w:p>
        </w:tc>
        <w:tc>
          <w:tcPr>
            <w:tcW w:w="2246" w:type="dxa"/>
            <w:vAlign w:val="center"/>
          </w:tcPr>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打造一流营商环境</w:t>
            </w:r>
          </w:p>
        </w:tc>
        <w:tc>
          <w:tcPr>
            <w:tcW w:w="4323" w:type="dxa"/>
            <w:gridSpan w:val="3"/>
            <w:vAlign w:val="center"/>
          </w:tcPr>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实现在全省县（市）营商环境综合排名中持续争先进位</w:t>
            </w:r>
          </w:p>
        </w:tc>
        <w:tc>
          <w:tcPr>
            <w:tcW w:w="4891" w:type="dxa"/>
            <w:vAlign w:val="center"/>
          </w:tcPr>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1、接入全省统一的预约叫号系统，实现政务服务就近能办、异地可办、区域通办、全程网办。</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2、全面落实减税降费等惠企政策，帮助企业降低制度性交易成本和融资、物流、用能等生产经营性成本。</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3、依法放宽市场准入门槛，保护好各类市场主体合法权益，构建“亲”“清”政商关系。</w:t>
            </w:r>
          </w:p>
          <w:p>
            <w:pPr>
              <w:spacing w:line="320" w:lineRule="exact"/>
              <w:jc w:val="left"/>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4、加强社会信用体系建设，深化“双随机、一公开”监管。</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市行政审批局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市商务局</w:t>
            </w:r>
          </w:p>
          <w:p>
            <w:pPr>
              <w:spacing w:line="320" w:lineRule="exact"/>
              <w:jc w:val="center"/>
              <w:rPr>
                <w:rStyle w:val="19"/>
                <w:rFonts w:hint="eastAsia" w:ascii="Times New Roman" w:hAnsi="Times New Roman" w:eastAsia="方正仿宋_GBK" w:cs="Times New Roman"/>
                <w:b w:val="0"/>
                <w:bCs/>
                <w:color w:val="000000"/>
                <w:kern w:val="0"/>
                <w:sz w:val="24"/>
                <w:lang w:eastAsia="zh-CN"/>
              </w:rPr>
            </w:pPr>
            <w:r>
              <w:rPr>
                <w:rStyle w:val="24"/>
                <w:rFonts w:eastAsia="方正仿宋_GBK"/>
                <w:b w:val="0"/>
                <w:bCs w:val="0"/>
                <w:color w:val="000000"/>
                <w:sz w:val="24"/>
              </w:rPr>
              <w:t>市市场监管局</w:t>
            </w:r>
            <w:r>
              <w:rPr>
                <w:rStyle w:val="24"/>
                <w:rFonts w:hint="eastAsia" w:eastAsia="方正仿宋_GBK"/>
                <w:b w:val="0"/>
                <w:bCs w:val="0"/>
                <w:color w:val="000000"/>
                <w:sz w:val="24"/>
                <w:lang w:eastAsia="zh-CN"/>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9</w:t>
            </w:r>
          </w:p>
        </w:tc>
        <w:tc>
          <w:tcPr>
            <w:tcW w:w="2246" w:type="dxa"/>
            <w:vAlign w:val="center"/>
          </w:tcPr>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做强“旗舰航母”龙头企业</w:t>
            </w:r>
          </w:p>
        </w:tc>
        <w:tc>
          <w:tcPr>
            <w:tcW w:w="2141" w:type="dxa"/>
            <w:vAlign w:val="center"/>
          </w:tcPr>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新增上市企业2-3家，培育国家高新技术企业达350家、独角兽种子企业1-2家、盐城市级瞪羚企业6家</w:t>
            </w:r>
          </w:p>
        </w:tc>
        <w:tc>
          <w:tcPr>
            <w:tcW w:w="2182" w:type="dxa"/>
            <w:gridSpan w:val="2"/>
            <w:vAlign w:val="center"/>
          </w:tcPr>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新增上市企业3-5家，培育国家高新技术企业达500家、独角兽种子企业2-3家、盐城市级瞪羚企业10家</w:t>
            </w:r>
          </w:p>
        </w:tc>
        <w:tc>
          <w:tcPr>
            <w:tcW w:w="4891" w:type="dxa"/>
            <w:vAlign w:val="center"/>
          </w:tcPr>
          <w:p>
            <w:pPr>
              <w:numPr>
                <w:ilvl w:val="0"/>
                <w:numId w:val="8"/>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聚焦四大主导产业，建立“链主”“准链主”企业引培库。</w:t>
            </w:r>
          </w:p>
          <w:p>
            <w:pPr>
              <w:numPr>
                <w:ilvl w:val="0"/>
                <w:numId w:val="8"/>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加大对战略性新兴产业领军企业、现代服务业高质量发展领军企业的培育和储备。</w:t>
            </w:r>
          </w:p>
          <w:p>
            <w:pPr>
              <w:numPr>
                <w:ilvl w:val="0"/>
                <w:numId w:val="8"/>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用好“上市9条”激励政策，实施企业上市“金种子”培育计划，加快培育上市后备企业资源，推动企业股改上市。</w:t>
            </w:r>
          </w:p>
          <w:p>
            <w:pPr>
              <w:spacing w:line="320" w:lineRule="exact"/>
              <w:jc w:val="left"/>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4、实施高新技术企业倍增计划，设立专项政策引导科技型中小企业积极申报高新技术企业。</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市科技局</w:t>
            </w:r>
          </w:p>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市金融监管局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10</w:t>
            </w:r>
          </w:p>
        </w:tc>
        <w:tc>
          <w:tcPr>
            <w:tcW w:w="2246" w:type="dxa"/>
            <w:vAlign w:val="center"/>
          </w:tcPr>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做优“专精特新”中小微企业</w:t>
            </w:r>
          </w:p>
        </w:tc>
        <w:tc>
          <w:tcPr>
            <w:tcW w:w="2141" w:type="dxa"/>
            <w:vAlign w:val="center"/>
          </w:tcPr>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累计新增规上企业200家，创成三星以上工业企业18家以上，培育省级以上“专精特新”小巨人企业12家</w:t>
            </w:r>
          </w:p>
        </w:tc>
        <w:tc>
          <w:tcPr>
            <w:tcW w:w="2182" w:type="dxa"/>
            <w:gridSpan w:val="2"/>
            <w:vAlign w:val="center"/>
          </w:tcPr>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累计新增规上企业350家，创成三星以上工业企业30家以上，培育省级以上“专精特新”小巨人企业20家</w:t>
            </w:r>
          </w:p>
        </w:tc>
        <w:tc>
          <w:tcPr>
            <w:tcW w:w="4891" w:type="dxa"/>
            <w:vAlign w:val="center"/>
          </w:tcPr>
          <w:p>
            <w:pPr>
              <w:numPr>
                <w:ilvl w:val="0"/>
                <w:numId w:val="9"/>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持续开展“争星创优”活动，完善形成“微成长、小升高、高壮大”梯次培育机制。</w:t>
            </w:r>
          </w:p>
          <w:p>
            <w:pPr>
              <w:numPr>
                <w:ilvl w:val="0"/>
                <w:numId w:val="9"/>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建立动态“专精特新”企业培育库，建立健全联系帮扶制度，为中小微企业提供精准到位的服务。</w:t>
            </w:r>
          </w:p>
          <w:p>
            <w:pPr>
              <w:numPr>
                <w:ilvl w:val="0"/>
                <w:numId w:val="9"/>
              </w:numPr>
              <w:spacing w:line="320" w:lineRule="exact"/>
              <w:jc w:val="left"/>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鼓励产业联盟、行业协会等组织建设，推动大中小企业融通发展。</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11</w:t>
            </w:r>
          </w:p>
        </w:tc>
        <w:tc>
          <w:tcPr>
            <w:tcW w:w="2246" w:type="dxa"/>
            <w:vAlign w:val="center"/>
          </w:tcPr>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做好招商安商稳商工作</w:t>
            </w:r>
          </w:p>
        </w:tc>
        <w:tc>
          <w:tcPr>
            <w:tcW w:w="2141" w:type="dxa"/>
            <w:vAlign w:val="center"/>
          </w:tcPr>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培育开票销售超10亿元企业10家，超50亿元企业3家，超百亿元企业2家</w:t>
            </w:r>
          </w:p>
        </w:tc>
        <w:tc>
          <w:tcPr>
            <w:tcW w:w="2182" w:type="dxa"/>
            <w:gridSpan w:val="2"/>
            <w:vAlign w:val="center"/>
          </w:tcPr>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培育开票销售超10亿元企业20家，超50亿元企业5家，超百亿元企业3家</w:t>
            </w:r>
          </w:p>
        </w:tc>
        <w:tc>
          <w:tcPr>
            <w:tcW w:w="4891" w:type="dxa"/>
            <w:vAlign w:val="center"/>
          </w:tcPr>
          <w:p>
            <w:pPr>
              <w:numPr>
                <w:ilvl w:val="0"/>
                <w:numId w:val="10"/>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优化“全员全域全年”招商机制，打造高素质招商引资专业队伍。</w:t>
            </w:r>
          </w:p>
          <w:p>
            <w:pPr>
              <w:numPr>
                <w:ilvl w:val="0"/>
                <w:numId w:val="10"/>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创新招商引资形式，积极探索云端招商、展会招商、以商招商、基金招商、驻点招商等招商新模式。</w:t>
            </w:r>
          </w:p>
          <w:p>
            <w:pPr>
              <w:numPr>
                <w:ilvl w:val="0"/>
                <w:numId w:val="10"/>
              </w:numPr>
              <w:spacing w:line="320" w:lineRule="exact"/>
              <w:jc w:val="left"/>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实行领导挂钩联系、部门结对服务重点企业制度，及时解决企业实际困难。</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p>
            <w:pPr>
              <w:spacing w:line="320" w:lineRule="exact"/>
              <w:jc w:val="center"/>
              <w:rPr>
                <w:rStyle w:val="19"/>
                <w:rFonts w:ascii="Times New Roman" w:hAnsi="Times New Roman" w:eastAsia="方正黑体_GBK" w:cs="Times New Roman"/>
                <w:b w:val="0"/>
                <w:bCs/>
                <w:color w:val="000000"/>
                <w:kern w:val="0"/>
                <w:sz w:val="24"/>
              </w:rPr>
            </w:pPr>
            <w:r>
              <w:rPr>
                <w:rStyle w:val="24"/>
                <w:rFonts w:eastAsia="方正仿宋_GBK"/>
                <w:b w:val="0"/>
                <w:bCs w:val="0"/>
                <w:color w:val="000000"/>
                <w:sz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20" w:lineRule="exact"/>
              <w:ind w:right="45"/>
              <w:jc w:val="center"/>
              <w:rPr>
                <w:rFonts w:ascii="Times New Roman" w:hAnsi="Times New Roman" w:eastAsia="方正黑体_GBK" w:cs="Times New Roman"/>
                <w:bCs/>
                <w:color w:val="000000"/>
                <w:kern w:val="0"/>
                <w:sz w:val="24"/>
              </w:rPr>
            </w:pPr>
            <w:r>
              <w:rPr>
                <w:rStyle w:val="19"/>
                <w:rFonts w:ascii="Times New Roman" w:hAnsi="Times New Roman" w:eastAsia="方正黑体_GBK" w:cs="Times New Roman"/>
                <w:b w:val="0"/>
                <w:bCs/>
                <w:color w:val="000000"/>
                <w:kern w:val="0"/>
                <w:sz w:val="24"/>
              </w:rPr>
              <w:t>四</w:t>
            </w:r>
          </w:p>
        </w:tc>
        <w:tc>
          <w:tcPr>
            <w:tcW w:w="13259" w:type="dxa"/>
            <w:gridSpan w:val="6"/>
            <w:vAlign w:val="center"/>
          </w:tcPr>
          <w:p>
            <w:pPr>
              <w:spacing w:line="320" w:lineRule="exact"/>
              <w:ind w:right="45"/>
              <w:jc w:val="left"/>
              <w:rPr>
                <w:rFonts w:ascii="Times New Roman" w:hAnsi="Times New Roman" w:eastAsia="方正黑体_GBK" w:cs="Times New Roman"/>
                <w:bCs/>
                <w:color w:val="000000"/>
                <w:kern w:val="0"/>
                <w:sz w:val="24"/>
              </w:rPr>
            </w:pPr>
            <w:r>
              <w:rPr>
                <w:rStyle w:val="19"/>
                <w:rFonts w:ascii="Times New Roman" w:hAnsi="Times New Roman" w:eastAsia="方正黑体_GBK" w:cs="Times New Roman"/>
                <w:b w:val="0"/>
                <w:bCs/>
                <w:color w:val="000000"/>
                <w:kern w:val="0"/>
                <w:sz w:val="24"/>
              </w:rPr>
              <w:t>科技创新突破行动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12</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引培一批创新创业人才</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三年累计资助引进创新创业领军人才60名左右</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五年累计资助引进创新创业领军人才100名左右</w:t>
            </w:r>
          </w:p>
        </w:tc>
        <w:tc>
          <w:tcPr>
            <w:tcW w:w="4891" w:type="dxa"/>
            <w:vAlign w:val="center"/>
          </w:tcPr>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1、落实黄海明珠人才计划，放大“汇盐行动”效应。</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2、突出顶尖人才柔性招引，推动人才、技术、资金、项目“打包”引进，以“一人一策”“一事一议”方式为高端人才及其团队提供精准支持，布局建设院士工作站、博士后科研工作站（省级博士后创新实践基地）、“候鸟”人才工作站、高端智库等柔性引才用才平台。</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3、打响“乐业家乡 创响东台”品牌，实施就业创业能力提升行动、“来东台 赢未来”返乡创业行动。</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4、加强本地人才留用培养，支持企业与职业技术院校合作建设公共实训基地。</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5、推进职称制度和人才分类评价改革，创新重点人才群体的职称评价。</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市委组织部</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市财政局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市科技局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13</w:t>
            </w:r>
          </w:p>
        </w:tc>
        <w:tc>
          <w:tcPr>
            <w:tcW w:w="2246" w:type="dxa"/>
            <w:vAlign w:val="center"/>
          </w:tcPr>
          <w:p>
            <w:pPr>
              <w:spacing w:line="320" w:lineRule="exact"/>
              <w:jc w:val="center"/>
              <w:rPr>
                <w:rFonts w:ascii="Times New Roman" w:hAnsi="Times New Roman" w:eastAsia="方正仿宋_GBK" w:cs="Times New Roman"/>
                <w:color w:val="000000"/>
                <w:sz w:val="24"/>
              </w:rPr>
            </w:pPr>
            <w:r>
              <w:rPr>
                <w:rStyle w:val="24"/>
                <w:rFonts w:eastAsia="方正仿宋_GBK"/>
                <w:b w:val="0"/>
                <w:bCs w:val="0"/>
                <w:color w:val="000000"/>
                <w:sz w:val="24"/>
              </w:rPr>
              <w:t>攻克一批关键技术</w:t>
            </w:r>
          </w:p>
        </w:tc>
        <w:tc>
          <w:tcPr>
            <w:tcW w:w="2141" w:type="dxa"/>
            <w:vAlign w:val="center"/>
          </w:tcPr>
          <w:p>
            <w:pPr>
              <w:spacing w:line="320" w:lineRule="exact"/>
              <w:jc w:val="center"/>
              <w:rPr>
                <w:rFonts w:ascii="Times New Roman" w:hAnsi="Times New Roman" w:eastAsia="方正仿宋_GBK" w:cs="Times New Roman"/>
                <w:color w:val="000000"/>
                <w:sz w:val="24"/>
              </w:rPr>
            </w:pPr>
            <w:r>
              <w:rPr>
                <w:rStyle w:val="24"/>
                <w:rFonts w:eastAsia="方正仿宋_GBK"/>
                <w:b w:val="0"/>
                <w:bCs w:val="0"/>
                <w:color w:val="000000"/>
                <w:sz w:val="24"/>
              </w:rPr>
              <w:t>高新技术产业产值占规上工业产值比重达到45%，全社会研发投入占比2.8%，万人发明专利拥有量14.5件</w:t>
            </w:r>
          </w:p>
        </w:tc>
        <w:tc>
          <w:tcPr>
            <w:tcW w:w="2182" w:type="dxa"/>
            <w:gridSpan w:val="2"/>
            <w:vAlign w:val="center"/>
          </w:tcPr>
          <w:p>
            <w:pPr>
              <w:spacing w:line="320" w:lineRule="exact"/>
              <w:jc w:val="center"/>
              <w:rPr>
                <w:rFonts w:ascii="Times New Roman" w:hAnsi="Times New Roman" w:eastAsia="方正仿宋_GBK" w:cs="Times New Roman"/>
                <w:color w:val="000000"/>
                <w:sz w:val="24"/>
              </w:rPr>
            </w:pPr>
            <w:r>
              <w:rPr>
                <w:rStyle w:val="24"/>
                <w:rFonts w:eastAsia="方正仿宋_GBK"/>
                <w:b w:val="0"/>
                <w:bCs w:val="0"/>
                <w:color w:val="000000"/>
                <w:sz w:val="24"/>
              </w:rPr>
              <w:t>高新技术产业产值占规上工业产值的比重达50％，研发经费支出占地区生产总值比重提高到3%以上，万人发明专利拥有量18.5件</w:t>
            </w:r>
          </w:p>
        </w:tc>
        <w:tc>
          <w:tcPr>
            <w:tcW w:w="4891" w:type="dxa"/>
            <w:vAlign w:val="center"/>
          </w:tcPr>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1、聚焦四大主导产业和两大传统优势产业，制定重点领域技术攻关路线图。</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2、综合运用定向择优、联合招标、“揭榜挂帅”和股份合作等方式，支持企业开展关键核心技术攻关。</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3、支持企业承担国家和省级重大科技专项和重点领域研发计划。</w:t>
            </w:r>
          </w:p>
          <w:p>
            <w:pPr>
              <w:spacing w:line="320" w:lineRule="exact"/>
              <w:jc w:val="left"/>
              <w:rPr>
                <w:rFonts w:ascii="Times New Roman" w:hAnsi="Times New Roman" w:eastAsia="方正仿宋_GBK" w:cs="Times New Roman"/>
                <w:color w:val="000000"/>
                <w:sz w:val="24"/>
              </w:rPr>
            </w:pPr>
            <w:r>
              <w:rPr>
                <w:rStyle w:val="24"/>
                <w:rFonts w:eastAsia="方正仿宋_GBK"/>
                <w:b w:val="0"/>
                <w:bCs w:val="0"/>
                <w:color w:val="000000"/>
                <w:sz w:val="24"/>
              </w:rPr>
              <w:t>4、鼓励企业申报省重点推广应用目录的新技术新产品、省级以上首台（套）重大装备及零部件。</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市科技局</w:t>
            </w:r>
          </w:p>
          <w:p>
            <w:pPr>
              <w:spacing w:line="320" w:lineRule="exact"/>
              <w:jc w:val="center"/>
              <w:rPr>
                <w:rStyle w:val="24"/>
                <w:rFonts w:hint="eastAsia" w:eastAsia="方正仿宋_GBK"/>
                <w:b w:val="0"/>
                <w:bCs w:val="0"/>
                <w:color w:val="000000"/>
                <w:sz w:val="24"/>
                <w:lang w:eastAsia="zh-CN"/>
              </w:rPr>
            </w:pPr>
            <w:r>
              <w:rPr>
                <w:rStyle w:val="24"/>
                <w:rFonts w:eastAsia="方正仿宋_GBK"/>
                <w:b w:val="0"/>
                <w:bCs w:val="0"/>
                <w:color w:val="000000"/>
                <w:sz w:val="24"/>
              </w:rPr>
              <w:t>市</w:t>
            </w:r>
            <w:r>
              <w:rPr>
                <w:rStyle w:val="24"/>
                <w:rFonts w:hint="eastAsia" w:eastAsia="方正仿宋_GBK"/>
                <w:b w:val="0"/>
                <w:bCs w:val="0"/>
                <w:color w:val="000000"/>
                <w:sz w:val="24"/>
                <w:lang w:eastAsia="zh-CN"/>
              </w:rPr>
              <w:t>发改委</w:t>
            </w:r>
          </w:p>
          <w:p>
            <w:pPr>
              <w:spacing w:line="320" w:lineRule="exact"/>
              <w:jc w:val="center"/>
              <w:rPr>
                <w:rFonts w:hint="eastAsia" w:ascii="Times New Roman" w:hAnsi="Times New Roman" w:eastAsia="方正仿宋_GBK" w:cs="Times New Roman"/>
                <w:color w:val="000000"/>
                <w:sz w:val="24"/>
                <w:lang w:eastAsia="zh-CN"/>
              </w:rPr>
            </w:pPr>
            <w:r>
              <w:rPr>
                <w:rStyle w:val="24"/>
                <w:rFonts w:hint="eastAsia" w:eastAsia="方正仿宋_GBK"/>
                <w:b w:val="0"/>
                <w:bCs w:val="0"/>
                <w:color w:val="000000"/>
                <w:sz w:val="24"/>
                <w:lang w:eastAsia="zh-CN"/>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14</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转化一批创新成果</w:t>
            </w:r>
          </w:p>
        </w:tc>
        <w:tc>
          <w:tcPr>
            <w:tcW w:w="4323" w:type="dxa"/>
            <w:gridSpan w:val="3"/>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每年集中举办长三角科技成果直通车东台专场活动2场</w:t>
            </w:r>
          </w:p>
        </w:tc>
        <w:tc>
          <w:tcPr>
            <w:tcW w:w="4891" w:type="dxa"/>
            <w:vAlign w:val="center"/>
          </w:tcPr>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1、更大力度支持大院大所来东台设立符合产业发展需求的技术转移机构。</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2、设立长三角科技管理沙龙东台基地。</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3、常态化组织长三角科技成果对接，选拔科技专员进行科技驻点招商。</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4、推动企业开展高价值专利培育布局，鼓励知识产权所有者通过合同科研、专利使用许可、创办公司、技术入股等多种途径实施技术转移转化。</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5、依托省级以上科技企业孵化器，探索“链式孵化+产业加速+风险投资”模式，汇聚研发设计、创业孵化、科技金融机构，吸引优质科创服务型企业入驻，引进技术转移专业服务人才。</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市科技局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市市场监管局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15</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打造一批科技创新平台</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规上企业研发机构建有率超过90%；省级以上研发平台总数突破100家</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规上企业研发机构建有率达95%，省级以上研发平台总数突破120家，四大主导产业分别建成1个研究院、1个专业孵化器、1个产业技术创新联盟、1个产业引导基金，国家级研发机构实现零突破</w:t>
            </w:r>
          </w:p>
        </w:tc>
        <w:tc>
          <w:tcPr>
            <w:tcW w:w="4891" w:type="dxa"/>
            <w:vAlign w:val="center"/>
          </w:tcPr>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1、加快“三站三中心”建设步伐，支持现有市级创新平台争创省级和国家级。</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2、吸引周边大院大所在东台设立分支机构或新型研发机构。</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3、加快东湖科创综合体、睿行科创综合体、麦腾创新工场等建设，支持创建创客空间、创客实践室，推动现有孵化器功能升级。</w:t>
            </w:r>
          </w:p>
          <w:p>
            <w:pPr>
              <w:spacing w:line="320" w:lineRule="exact"/>
              <w:jc w:val="left"/>
              <w:rPr>
                <w:rStyle w:val="24"/>
                <w:rFonts w:eastAsia="方正仿宋_GBK"/>
                <w:b w:val="0"/>
                <w:bCs w:val="0"/>
                <w:color w:val="000000"/>
                <w:spacing w:val="-11"/>
                <w:sz w:val="24"/>
              </w:rPr>
            </w:pPr>
            <w:r>
              <w:rPr>
                <w:rStyle w:val="24"/>
                <w:rFonts w:eastAsia="方正仿宋_GBK"/>
                <w:b w:val="0"/>
                <w:bCs w:val="0"/>
                <w:color w:val="000000"/>
                <w:spacing w:val="-11"/>
                <w:sz w:val="24"/>
              </w:rPr>
              <w:t>4、建设新材料、电子信息和大健康产业研究院。</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5、引导支持高新区凝炼产业链条，尽早列入省级高新区建设目录。</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6、支持经济开发区创建国家知识产权试点园区。</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市科技局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市市场监管局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20" w:lineRule="exact"/>
              <w:ind w:right="45"/>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五</w:t>
            </w:r>
          </w:p>
        </w:tc>
        <w:tc>
          <w:tcPr>
            <w:tcW w:w="13259" w:type="dxa"/>
            <w:gridSpan w:val="6"/>
            <w:vAlign w:val="center"/>
          </w:tcPr>
          <w:p>
            <w:pPr>
              <w:spacing w:line="320" w:lineRule="exact"/>
              <w:ind w:right="45"/>
              <w:jc w:val="left"/>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数字赋能增效行动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16</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加快建设工业互联网</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星级“上云”企业达到100家，建成省级以上工业互联网平台、应用标杆工厂5个</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星级“上云”企业达到120家，建成省级以上工业互联网平台、应用标杆工厂6个，四大主导产业实现产业链工业互联网平台全覆盖</w:t>
            </w:r>
          </w:p>
        </w:tc>
        <w:tc>
          <w:tcPr>
            <w:tcW w:w="4891" w:type="dxa"/>
            <w:vAlign w:val="center"/>
          </w:tcPr>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1、推动工业设备“上云”，培育人、机、物全面互联的新兴业态。</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2、加快企业内网升级改造，推动工业无源光网络、工业以太网、工业无线网等新型工业网络部署。</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3、支持领军企业打造行业工业互联网平台。</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4、支持金科森国家工业互联网标识解析二级节点抢抓市场先机，深化与行业龙头、上下游企业合作，打造行业标杆。</w:t>
            </w:r>
          </w:p>
          <w:p>
            <w:pPr>
              <w:spacing w:line="320" w:lineRule="exact"/>
              <w:jc w:val="left"/>
              <w:rPr>
                <w:rStyle w:val="24"/>
                <w:rFonts w:eastAsia="方正仿宋_GBK"/>
                <w:b w:val="0"/>
                <w:bCs w:val="0"/>
                <w:color w:val="000000"/>
                <w:sz w:val="24"/>
              </w:rPr>
            </w:pPr>
            <w:r>
              <w:rPr>
                <w:rStyle w:val="24"/>
                <w:rFonts w:eastAsia="方正仿宋_GBK"/>
                <w:b w:val="0"/>
                <w:bCs w:val="0"/>
                <w:color w:val="000000"/>
                <w:sz w:val="24"/>
              </w:rPr>
              <w:t>5、聚焦四大主导产业和重点行业，推进“5G+工业互联网”融合创新应用。</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17</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推进产业数字化转型</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建成省级以上智能车间（智能工厂）10家，关键工序制造设备数控化率达到83%</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建成省级以上智能车间（智能工厂）23家，关键工序制造设备数控化率达到85%</w:t>
            </w:r>
          </w:p>
        </w:tc>
        <w:tc>
          <w:tcPr>
            <w:tcW w:w="4891" w:type="dxa"/>
            <w:vAlign w:val="center"/>
          </w:tcPr>
          <w:p>
            <w:pPr>
              <w:numPr>
                <w:ilvl w:val="0"/>
                <w:numId w:val="11"/>
              </w:numPr>
              <w:spacing w:line="320" w:lineRule="exact"/>
              <w:rPr>
                <w:rStyle w:val="24"/>
                <w:rFonts w:eastAsia="方正仿宋_GBK"/>
                <w:b w:val="0"/>
                <w:bCs w:val="0"/>
                <w:color w:val="000000"/>
                <w:sz w:val="24"/>
              </w:rPr>
            </w:pPr>
            <w:r>
              <w:rPr>
                <w:rStyle w:val="24"/>
                <w:rFonts w:eastAsia="方正仿宋_GBK"/>
                <w:b w:val="0"/>
                <w:bCs w:val="0"/>
                <w:color w:val="000000"/>
                <w:sz w:val="24"/>
              </w:rPr>
              <w:t>继续开展“百家智能企业”培育工程，每年组织实施100个智能化改造项目，重点加快电子信息企业“机器换人”、装备制造企业“设备换芯”、新材料企业“生产换线”。</w:t>
            </w:r>
          </w:p>
          <w:p>
            <w:pPr>
              <w:numPr>
                <w:ilvl w:val="0"/>
                <w:numId w:val="11"/>
              </w:numPr>
              <w:spacing w:line="320" w:lineRule="exact"/>
              <w:rPr>
                <w:rStyle w:val="24"/>
                <w:rFonts w:eastAsia="方正仿宋_GBK"/>
                <w:b w:val="0"/>
                <w:bCs w:val="0"/>
                <w:color w:val="000000"/>
                <w:sz w:val="24"/>
              </w:rPr>
            </w:pPr>
            <w:r>
              <w:rPr>
                <w:rStyle w:val="24"/>
                <w:rFonts w:eastAsia="方正仿宋_GBK"/>
                <w:b w:val="0"/>
                <w:bCs w:val="0"/>
                <w:color w:val="000000"/>
                <w:sz w:val="24"/>
              </w:rPr>
              <w:t>支持科森在行业率先打造“黑灯工厂”，打造一批智能化改造标杆。</w:t>
            </w:r>
          </w:p>
          <w:p>
            <w:pPr>
              <w:spacing w:line="320" w:lineRule="exact"/>
              <w:rPr>
                <w:rStyle w:val="24"/>
                <w:rFonts w:eastAsia="方正仿宋_GBK"/>
                <w:b w:val="0"/>
                <w:bCs w:val="0"/>
                <w:color w:val="000000"/>
                <w:sz w:val="24"/>
              </w:rPr>
            </w:pPr>
            <w:r>
              <w:rPr>
                <w:rStyle w:val="24"/>
                <w:rFonts w:eastAsia="方正仿宋_GBK"/>
                <w:b w:val="0"/>
                <w:bCs w:val="0"/>
                <w:color w:val="000000"/>
                <w:sz w:val="24"/>
              </w:rPr>
              <w:t>3、培育引进智能制造、软件和系统集成服务商，推进东台中科智算研究院建成运营。</w:t>
            </w:r>
          </w:p>
          <w:p>
            <w:pPr>
              <w:spacing w:line="320" w:lineRule="exact"/>
              <w:rPr>
                <w:rStyle w:val="24"/>
                <w:rFonts w:eastAsia="方正仿宋_GBK"/>
                <w:b w:val="0"/>
                <w:bCs w:val="0"/>
                <w:color w:val="000000"/>
                <w:sz w:val="24"/>
              </w:rPr>
            </w:pPr>
            <w:r>
              <w:rPr>
                <w:rStyle w:val="24"/>
                <w:rFonts w:eastAsia="方正仿宋_GBK"/>
                <w:b w:val="0"/>
                <w:bCs w:val="0"/>
                <w:color w:val="000000"/>
                <w:sz w:val="24"/>
              </w:rPr>
              <w:t>4、发展智慧物流、数字金融等新业态新模式，鼓励纺织服装、建材家居、五金工具、体育用品等产业运用互联网发展垂直电商平台。</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hint="eastAsia" w:eastAsia="方正仿宋_GBK"/>
                <w:b w:val="0"/>
                <w:bCs w:val="0"/>
                <w:color w:val="000000"/>
                <w:sz w:val="24"/>
                <w:lang w:eastAsia="zh-CN"/>
              </w:rPr>
            </w:pPr>
            <w:r>
              <w:rPr>
                <w:rStyle w:val="24"/>
                <w:rFonts w:eastAsia="方正仿宋_GBK"/>
                <w:b w:val="0"/>
                <w:bCs w:val="0"/>
                <w:color w:val="000000"/>
                <w:sz w:val="24"/>
              </w:rPr>
              <w:t>市</w:t>
            </w:r>
            <w:r>
              <w:rPr>
                <w:rStyle w:val="24"/>
                <w:rFonts w:hint="eastAsia" w:eastAsia="方正仿宋_GBK"/>
                <w:b w:val="0"/>
                <w:bCs w:val="0"/>
                <w:color w:val="000000"/>
                <w:sz w:val="24"/>
                <w:lang w:eastAsia="zh-CN"/>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18</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推进数字产业化发展</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数字经济开票销售达到500亿元</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数字经济开票销售达到800亿元</w:t>
            </w:r>
          </w:p>
        </w:tc>
        <w:tc>
          <w:tcPr>
            <w:tcW w:w="4891" w:type="dxa"/>
            <w:vAlign w:val="center"/>
          </w:tcPr>
          <w:p>
            <w:pPr>
              <w:spacing w:line="320" w:lineRule="exact"/>
              <w:rPr>
                <w:rStyle w:val="24"/>
                <w:rFonts w:eastAsia="方正仿宋_GBK"/>
                <w:b w:val="0"/>
                <w:bCs w:val="0"/>
                <w:color w:val="000000"/>
                <w:sz w:val="24"/>
              </w:rPr>
            </w:pPr>
            <w:r>
              <w:rPr>
                <w:rStyle w:val="24"/>
                <w:rFonts w:eastAsia="方正仿宋_GBK"/>
                <w:b w:val="0"/>
                <w:bCs w:val="0"/>
                <w:color w:val="000000"/>
                <w:sz w:val="24"/>
              </w:rPr>
              <w:t>1、重点发展集成电路、新型显示、智能终端、5G通信、人工智能等领域，打造江苏沿海电子信息产业特色基地。</w:t>
            </w:r>
          </w:p>
          <w:p>
            <w:pPr>
              <w:spacing w:line="320" w:lineRule="exact"/>
              <w:rPr>
                <w:rStyle w:val="24"/>
                <w:rFonts w:eastAsia="方正仿宋_GBK"/>
                <w:b w:val="0"/>
                <w:bCs w:val="0"/>
                <w:color w:val="000000"/>
                <w:sz w:val="24"/>
              </w:rPr>
            </w:pPr>
            <w:r>
              <w:rPr>
                <w:rStyle w:val="24"/>
                <w:rFonts w:eastAsia="方正仿宋_GBK"/>
                <w:b w:val="0"/>
                <w:bCs w:val="0"/>
                <w:color w:val="000000"/>
                <w:sz w:val="24"/>
              </w:rPr>
              <w:t>2、推进普天江苏等企业做大数字产业规模。</w:t>
            </w:r>
          </w:p>
          <w:p>
            <w:pPr>
              <w:spacing w:line="320" w:lineRule="exact"/>
              <w:rPr>
                <w:rStyle w:val="24"/>
                <w:rFonts w:eastAsia="方正仿宋_GBK"/>
                <w:b w:val="0"/>
                <w:bCs w:val="0"/>
                <w:color w:val="000000"/>
                <w:sz w:val="24"/>
              </w:rPr>
            </w:pPr>
            <w:r>
              <w:rPr>
                <w:rStyle w:val="24"/>
                <w:rFonts w:eastAsia="方正仿宋_GBK"/>
                <w:b w:val="0"/>
                <w:bCs w:val="0"/>
                <w:color w:val="000000"/>
                <w:sz w:val="24"/>
              </w:rPr>
              <w:t>3、加快推进软件和信息服务业本地化应用，推进工业互联网、智慧城市等融合应用。</w:t>
            </w:r>
          </w:p>
          <w:p>
            <w:pPr>
              <w:spacing w:line="320" w:lineRule="exact"/>
              <w:rPr>
                <w:rStyle w:val="24"/>
                <w:rFonts w:eastAsia="方正仿宋_GBK"/>
                <w:b w:val="0"/>
                <w:bCs w:val="0"/>
                <w:color w:val="000000"/>
                <w:sz w:val="24"/>
              </w:rPr>
            </w:pPr>
            <w:r>
              <w:rPr>
                <w:rStyle w:val="24"/>
                <w:rFonts w:eastAsia="方正仿宋_GBK"/>
                <w:b w:val="0"/>
                <w:bCs w:val="0"/>
                <w:color w:val="000000"/>
                <w:sz w:val="24"/>
              </w:rPr>
              <w:t>4、以科创大厦、互联网大厦、云谷、智厦等为主要载体，积极招引大数据、云计算、人工智能、区块链、3D打印等数字产业项目，打造数字产业集群。</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p>
            <w:pPr>
              <w:spacing w:line="320" w:lineRule="exact"/>
              <w:jc w:val="center"/>
              <w:rPr>
                <w:rFonts w:ascii="Times New Roman" w:hAnsi="Times New Roman" w:cs="Times New Roman"/>
                <w:sz w:val="24"/>
              </w:rPr>
            </w:pPr>
            <w:r>
              <w:rPr>
                <w:rStyle w:val="24"/>
                <w:rFonts w:eastAsia="方正仿宋_GBK"/>
                <w:b w:val="0"/>
                <w:bCs w:val="0"/>
                <w:color w:val="000000"/>
                <w:sz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20" w:lineRule="exact"/>
              <w:ind w:right="45"/>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六</w:t>
            </w:r>
          </w:p>
        </w:tc>
        <w:tc>
          <w:tcPr>
            <w:tcW w:w="13259" w:type="dxa"/>
            <w:gridSpan w:val="6"/>
            <w:vAlign w:val="center"/>
          </w:tcPr>
          <w:p>
            <w:pPr>
              <w:spacing w:line="320" w:lineRule="exact"/>
              <w:ind w:right="45"/>
              <w:jc w:val="left"/>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绿色低碳发展行动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19</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提高资源能源利用效率水平</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非化石能源占一次能源消费比重达30%；单位工业增加值能耗、水耗比2020年降低12%；盘活土地3000亩</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非化石能源占一次能源消费比重达35%；单位工业增加值能耗、水耗比2020年降低20%；盘活土地5000亩</w:t>
            </w:r>
          </w:p>
        </w:tc>
        <w:tc>
          <w:tcPr>
            <w:tcW w:w="4891" w:type="dxa"/>
            <w:vAlign w:val="center"/>
          </w:tcPr>
          <w:p>
            <w:pPr>
              <w:numPr>
                <w:ilvl w:val="0"/>
                <w:numId w:val="12"/>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加强高耗能高排放项目准入管理，对存量“两高”项目实行清单化、动态化的台账管理。</w:t>
            </w:r>
          </w:p>
          <w:p>
            <w:pPr>
              <w:numPr>
                <w:ilvl w:val="0"/>
                <w:numId w:val="12"/>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开展煤炭消费减量替代，推进建材、有色金属等重点行业节能降耗，加强对高耗能企业节能监察，加快淘汰落后产能。</w:t>
            </w:r>
          </w:p>
          <w:p>
            <w:pPr>
              <w:numPr>
                <w:ilvl w:val="0"/>
                <w:numId w:val="12"/>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推动煤炭等化石能源清洁高效利用，推进太阳能、风能等可再生能源利用。</w:t>
            </w:r>
          </w:p>
          <w:p>
            <w:pPr>
              <w:numPr>
                <w:ilvl w:val="0"/>
                <w:numId w:val="12"/>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灵活推进存量土地清理盘活，树立“亩产论英雄”综合评价机制，强化亩均投资、亩均产值和亩均税收考核。</w:t>
            </w:r>
          </w:p>
          <w:p>
            <w:pPr>
              <w:numPr>
                <w:ilvl w:val="0"/>
                <w:numId w:val="12"/>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严格水资源“三条红线”管理制度，推进水资源高效循环利用。</w:t>
            </w:r>
          </w:p>
          <w:p>
            <w:pPr>
              <w:numPr>
                <w:ilvl w:val="0"/>
                <w:numId w:val="12"/>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推进再制造产业化，培育资源综合利用骨干企业，建成国家级资源综合利用示范基地。</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市生态环境局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市自规局</w:t>
            </w:r>
          </w:p>
          <w:p>
            <w:pPr>
              <w:spacing w:line="320" w:lineRule="exact"/>
              <w:jc w:val="center"/>
              <w:rPr>
                <w:rStyle w:val="24"/>
                <w:rFonts w:hint="eastAsia" w:eastAsia="方正仿宋_GBK"/>
                <w:b w:val="0"/>
                <w:bCs w:val="0"/>
                <w:color w:val="000000"/>
                <w:sz w:val="24"/>
                <w:lang w:eastAsia="zh-CN"/>
              </w:rPr>
            </w:pPr>
            <w:r>
              <w:rPr>
                <w:rStyle w:val="24"/>
                <w:rFonts w:hint="eastAsia" w:eastAsia="方正仿宋_GBK"/>
                <w:b w:val="0"/>
                <w:bCs w:val="0"/>
                <w:color w:val="000000"/>
                <w:sz w:val="24"/>
                <w:lang w:eastAsia="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20</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推广绿色低碳循环生产方式</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绿色优质农产品比重达73%以上；空气优良天数比率83%；全面消除黑臭水体</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绿色优质农产品比重达75%以上；空气优良天数比率85%；省考及以上断面地表水优良比例100%</w:t>
            </w:r>
          </w:p>
        </w:tc>
        <w:tc>
          <w:tcPr>
            <w:tcW w:w="4891" w:type="dxa"/>
            <w:vAlign w:val="center"/>
          </w:tcPr>
          <w:p>
            <w:pPr>
              <w:numPr>
                <w:ilvl w:val="0"/>
                <w:numId w:val="13"/>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全面推行清洁生产，依法在有关行业实施强制性清洁生产审核。</w:t>
            </w:r>
          </w:p>
          <w:p>
            <w:pPr>
              <w:numPr>
                <w:ilvl w:val="0"/>
                <w:numId w:val="13"/>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通过关停取缔和升级改造等手段，加强“散乱污”企业整治和治理。</w:t>
            </w:r>
          </w:p>
          <w:p>
            <w:pPr>
              <w:numPr>
                <w:ilvl w:val="0"/>
                <w:numId w:val="13"/>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加快实施排污许可制度，抓好固定污染源环境监管。</w:t>
            </w:r>
          </w:p>
          <w:p>
            <w:pPr>
              <w:numPr>
                <w:ilvl w:val="0"/>
                <w:numId w:val="13"/>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以市级以上产业园区为重点完善产业生态链接，加强余热余能回收利用、能量梯级利用、水资源循环利用、废弃物综合利用。</w:t>
            </w:r>
          </w:p>
          <w:p>
            <w:pPr>
              <w:numPr>
                <w:ilvl w:val="0"/>
                <w:numId w:val="13"/>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推动在役工业燃煤锅炉、窑炉实施清洁能源替代、淘汰和提标改造。</w:t>
            </w:r>
          </w:p>
          <w:p>
            <w:pPr>
              <w:numPr>
                <w:ilvl w:val="0"/>
                <w:numId w:val="13"/>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加大政府绿色采购力度，加强对企业和居民采购绿色产品的引导。</w:t>
            </w:r>
          </w:p>
          <w:p>
            <w:pPr>
              <w:numPr>
                <w:ilvl w:val="0"/>
                <w:numId w:val="13"/>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实施农药兽药化肥使用减量增效工程。</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市农业农村局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21</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大力开展绿色系列创建和示范</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创建6家省级以上绿色工厂</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创建10家省级以上绿色工厂</w:t>
            </w:r>
          </w:p>
        </w:tc>
        <w:tc>
          <w:tcPr>
            <w:tcW w:w="4891" w:type="dxa"/>
            <w:vAlign w:val="center"/>
          </w:tcPr>
          <w:p>
            <w:pPr>
              <w:numPr>
                <w:ilvl w:val="0"/>
                <w:numId w:val="14"/>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推进绿色产品开发，鼓励企业全面按国家绿色产品评价标准开发生产绿色产品。</w:t>
            </w:r>
          </w:p>
          <w:p>
            <w:pPr>
              <w:numPr>
                <w:ilvl w:val="0"/>
                <w:numId w:val="14"/>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在电子信息、装备制造、纺织、建材等重点制造领域选择一批基础好、代表性强的企业开展绿色工厂创建。</w:t>
            </w:r>
          </w:p>
          <w:p>
            <w:pPr>
              <w:numPr>
                <w:ilvl w:val="0"/>
                <w:numId w:val="14"/>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支持高新区和沿海经济区实施绿色化、循环化和生态化改造，积极争创省级以上绿色园区。</w:t>
            </w:r>
          </w:p>
          <w:p>
            <w:pPr>
              <w:numPr>
                <w:ilvl w:val="0"/>
                <w:numId w:val="14"/>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以行业龙头企业为核心，鼓励企业开展绿色供应链试点，创建绿色供应链管理示范企业。</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20" w:lineRule="exact"/>
              <w:ind w:right="45"/>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七</w:t>
            </w:r>
          </w:p>
        </w:tc>
        <w:tc>
          <w:tcPr>
            <w:tcW w:w="13259" w:type="dxa"/>
            <w:gridSpan w:val="6"/>
            <w:vAlign w:val="center"/>
          </w:tcPr>
          <w:p>
            <w:pPr>
              <w:spacing w:line="320" w:lineRule="exact"/>
              <w:ind w:right="45"/>
              <w:jc w:val="left"/>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质量品牌提升行动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22</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加强企业质量品牌管理</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培育省长质量奖（提名奖）1个、盐城市长质量奖（提名奖）3个；评定东台市长质量奖（提名奖）12个；“江苏精品”认证企业3家</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培育省长质量奖（提名奖）2个、盐城市长质量奖（提名奖）5个；评定东台市长质量奖（提名奖）20个；“江苏精品”认证企业5家</w:t>
            </w:r>
          </w:p>
        </w:tc>
        <w:tc>
          <w:tcPr>
            <w:tcW w:w="4891" w:type="dxa"/>
            <w:vAlign w:val="center"/>
          </w:tcPr>
          <w:p>
            <w:pPr>
              <w:numPr>
                <w:ilvl w:val="0"/>
                <w:numId w:val="15"/>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鼓励企业推广应用全面质量管理、六西格玛、精益管理等国际通用质量管理方法。</w:t>
            </w:r>
          </w:p>
          <w:p>
            <w:pPr>
              <w:numPr>
                <w:ilvl w:val="0"/>
                <w:numId w:val="15"/>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在龙头企业和大型企业中推行卓越绩效管理标准等先进质量管理模式。</w:t>
            </w:r>
          </w:p>
          <w:p>
            <w:pPr>
              <w:numPr>
                <w:ilvl w:val="0"/>
                <w:numId w:val="15"/>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落实质量责任追溯制度，支持企业提高产品全生命周期质量追溯能力。</w:t>
            </w:r>
          </w:p>
          <w:p>
            <w:pPr>
              <w:numPr>
                <w:ilvl w:val="0"/>
                <w:numId w:val="15"/>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组织规上企业开展质量管理培训，弘扬企业家精神和工匠精神，打造质量标杆企业。</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市市场监管局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23</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加强质量认证体系建设</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培育省工业企业质量信用 AA级企业3家；打造高标准检验检测中心1个</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培育省工业企业质量信用 AAA 级企业1家、AA级企业5家</w:t>
            </w:r>
          </w:p>
        </w:tc>
        <w:tc>
          <w:tcPr>
            <w:tcW w:w="4891" w:type="dxa"/>
            <w:vAlign w:val="center"/>
          </w:tcPr>
          <w:p>
            <w:pPr>
              <w:numPr>
                <w:ilvl w:val="0"/>
                <w:numId w:val="16"/>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开展企业质量诊断服务活动，普及和推广先进质量管理工具和质量认证知识。</w:t>
            </w:r>
          </w:p>
          <w:p>
            <w:pPr>
              <w:numPr>
                <w:ilvl w:val="0"/>
                <w:numId w:val="16"/>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开展企业质量认证调查，引导各类企业尤其是中小微企业获得质量认证。</w:t>
            </w:r>
          </w:p>
          <w:p>
            <w:pPr>
              <w:numPr>
                <w:ilvl w:val="0"/>
                <w:numId w:val="16"/>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对涉及安全、健康、环保等方面的产品依法实施强制性认证。</w:t>
            </w:r>
          </w:p>
          <w:p>
            <w:pPr>
              <w:numPr>
                <w:ilvl w:val="0"/>
                <w:numId w:val="16"/>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鼓励和推动企业开展质量管理、环境管理、职业健康、能源管理等体系综合认证。</w:t>
            </w:r>
          </w:p>
          <w:p>
            <w:pPr>
              <w:numPr>
                <w:ilvl w:val="0"/>
                <w:numId w:val="16"/>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培育发展计量测试、检验检测、认证认可等专业性服务和机构，鼓励第三方开展服务。</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市市场监管局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24</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加快绿色智造标准体系建设</w:t>
            </w:r>
          </w:p>
        </w:tc>
        <w:tc>
          <w:tcPr>
            <w:tcW w:w="2141"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主导或参与绿色智造各项标准制修订21项以上、推进相关标准化试点示范建设项目6个以上；具有自主知识产权和自主品牌的制造业企业占比达到40%</w:t>
            </w:r>
          </w:p>
        </w:tc>
        <w:tc>
          <w:tcPr>
            <w:tcW w:w="2182"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主导或参与绿色智造各项标准制修订35项以上、推进相关标准化试点示范建设项目10个以上；具有自主知识产权和自主品牌的制造业企业占比达到50%</w:t>
            </w:r>
          </w:p>
        </w:tc>
        <w:tc>
          <w:tcPr>
            <w:tcW w:w="4891" w:type="dxa"/>
            <w:vAlign w:val="center"/>
          </w:tcPr>
          <w:p>
            <w:pPr>
              <w:numPr>
                <w:ilvl w:val="0"/>
                <w:numId w:val="17"/>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全面实施企业标准自我声明公开和监督制度。</w:t>
            </w:r>
          </w:p>
          <w:p>
            <w:pPr>
              <w:numPr>
                <w:ilvl w:val="0"/>
                <w:numId w:val="17"/>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开展绿色智造对标达标活动，鼓励企业主动制定和实施先进标准。</w:t>
            </w:r>
          </w:p>
          <w:p>
            <w:pPr>
              <w:numPr>
                <w:ilvl w:val="0"/>
                <w:numId w:val="17"/>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支持企业参与绿色智造行业标准、团体标准、地方标准和国家标准制修订，形成有自主知识产权的技术和标准。</w:t>
            </w:r>
          </w:p>
          <w:p>
            <w:pPr>
              <w:numPr>
                <w:ilvl w:val="0"/>
                <w:numId w:val="17"/>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积极组织符合条件的企业申报知识产权示范企业和优势企业。</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市市场监管局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20" w:lineRule="exact"/>
              <w:ind w:right="45"/>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八</w:t>
            </w:r>
          </w:p>
        </w:tc>
        <w:tc>
          <w:tcPr>
            <w:tcW w:w="13259" w:type="dxa"/>
            <w:gridSpan w:val="6"/>
            <w:vAlign w:val="center"/>
          </w:tcPr>
          <w:p>
            <w:pPr>
              <w:spacing w:line="320" w:lineRule="exact"/>
              <w:ind w:right="45"/>
              <w:jc w:val="left"/>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开放合作共赢行动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25</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加快建设沿海高质量发展示范区</w:t>
            </w:r>
          </w:p>
        </w:tc>
        <w:tc>
          <w:tcPr>
            <w:tcW w:w="4323" w:type="dxa"/>
            <w:gridSpan w:val="3"/>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加快推动条子泥景区争创国家5A级旅游景区，黄海森林公园争创国家5A级旅游景区和国家级旅游度假区</w:t>
            </w:r>
          </w:p>
        </w:tc>
        <w:tc>
          <w:tcPr>
            <w:tcW w:w="4891" w:type="dxa"/>
            <w:vAlign w:val="center"/>
          </w:tcPr>
          <w:p>
            <w:pPr>
              <w:numPr>
                <w:ilvl w:val="0"/>
                <w:numId w:val="18"/>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加快新能源产业园、绿色食品产业园、大健康双创园、健康科技产业园等特色园区建设。</w:t>
            </w:r>
          </w:p>
          <w:p>
            <w:pPr>
              <w:numPr>
                <w:ilvl w:val="0"/>
                <w:numId w:val="18"/>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全面提升条子泥、黄海森林公园、蹲门湾、巴斗村、龙王古寺等景区品质。</w:t>
            </w:r>
          </w:p>
          <w:p>
            <w:pPr>
              <w:numPr>
                <w:ilvl w:val="0"/>
                <w:numId w:val="18"/>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深化“风光渔互补”模式探索，科学布局海陆风电、光伏发电等清洁能源。</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市文广旅局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26</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全方位融入长三角区域一体化发展</w:t>
            </w:r>
          </w:p>
        </w:tc>
        <w:tc>
          <w:tcPr>
            <w:tcW w:w="4323" w:type="dxa"/>
            <w:gridSpan w:val="3"/>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每年引进长三角区域产业项目60个以上，当好盐城市融入长三角区域一体化发展的排头兵</w:t>
            </w:r>
          </w:p>
        </w:tc>
        <w:tc>
          <w:tcPr>
            <w:tcW w:w="4891" w:type="dxa"/>
            <w:vAlign w:val="center"/>
          </w:tcPr>
          <w:p>
            <w:pPr>
              <w:numPr>
                <w:ilvl w:val="0"/>
                <w:numId w:val="19"/>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强化与国家技术转移东部中心等科研平台合作，打造科创成果转移转化示范基地。</w:t>
            </w:r>
          </w:p>
          <w:p>
            <w:pPr>
              <w:numPr>
                <w:ilvl w:val="0"/>
                <w:numId w:val="19"/>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深化与上海康桥工业园、青浦工业园、紫竹科学园、崇明森林旅游园区等园区合作，新建一批“区中园”，扩大与上海西郊工业园共建园区范围。</w:t>
            </w:r>
          </w:p>
          <w:p>
            <w:pPr>
              <w:numPr>
                <w:ilvl w:val="0"/>
                <w:numId w:val="19"/>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扩大沪外蔬菜主供应基地数量和规模，加强供沪农产品配送中心和直销窗口建设。</w:t>
            </w:r>
          </w:p>
          <w:p>
            <w:pPr>
              <w:numPr>
                <w:ilvl w:val="0"/>
                <w:numId w:val="19"/>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加强同苏南县、市联系交流，承接产业溢出效应，集聚更多高端发展要素和优质项目。</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市商务局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市科技局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市工信局</w:t>
            </w:r>
          </w:p>
          <w:p>
            <w:pPr>
              <w:spacing w:line="320" w:lineRule="exact"/>
              <w:jc w:val="center"/>
              <w:rPr>
                <w:rFonts w:ascii="Times New Roman" w:hAnsi="Times New Roman" w:cs="Times New Roman"/>
                <w:sz w:val="24"/>
              </w:rPr>
            </w:pPr>
            <w:r>
              <w:rPr>
                <w:rStyle w:val="24"/>
                <w:rFonts w:eastAsia="方正仿宋_GBK"/>
                <w:b w:val="0"/>
                <w:bCs w:val="0"/>
                <w:color w:val="000000"/>
                <w:sz w:val="24"/>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93" w:type="dxa"/>
            <w:vAlign w:val="center"/>
          </w:tcPr>
          <w:p>
            <w:pPr>
              <w:jc w:val="center"/>
              <w:rPr>
                <w:rStyle w:val="19"/>
                <w:rFonts w:ascii="Times New Roman" w:hAnsi="Times New Roman" w:eastAsia="方正黑体_GBK" w:cs="Times New Roman"/>
                <w:b w:val="0"/>
                <w:bCs/>
                <w:color w:val="000000"/>
                <w:kern w:val="0"/>
                <w:sz w:val="24"/>
              </w:rPr>
            </w:pPr>
            <w:r>
              <w:rPr>
                <w:rStyle w:val="19"/>
                <w:rFonts w:ascii="Times New Roman" w:hAnsi="Times New Roman" w:eastAsia="方正黑体_GBK" w:cs="Times New Roman"/>
                <w:b w:val="0"/>
                <w:bCs/>
                <w:color w:val="000000"/>
                <w:kern w:val="0"/>
                <w:sz w:val="24"/>
              </w:rPr>
              <w:t>27</w:t>
            </w:r>
          </w:p>
        </w:tc>
        <w:tc>
          <w:tcPr>
            <w:tcW w:w="2246"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积极参与“一带一路”交汇点建设</w:t>
            </w:r>
          </w:p>
        </w:tc>
        <w:tc>
          <w:tcPr>
            <w:tcW w:w="2161" w:type="dxa"/>
            <w:gridSpan w:val="2"/>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每年实施3000万美元以上项目2-3个；注册外资实际到账1.6亿美元</w:t>
            </w:r>
          </w:p>
        </w:tc>
        <w:tc>
          <w:tcPr>
            <w:tcW w:w="2162"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pacing w:val="-6"/>
                <w:sz w:val="24"/>
              </w:rPr>
              <w:t>每年实施3000万美元以上项目2-3个，培育跨国公司地区总部和功能性机构1-2家；注册外资实际到账2亿美元</w:t>
            </w:r>
          </w:p>
        </w:tc>
        <w:tc>
          <w:tcPr>
            <w:tcW w:w="4891" w:type="dxa"/>
            <w:vAlign w:val="center"/>
          </w:tcPr>
          <w:p>
            <w:pPr>
              <w:numPr>
                <w:ilvl w:val="0"/>
                <w:numId w:val="20"/>
              </w:numPr>
              <w:spacing w:line="320" w:lineRule="exact"/>
              <w:jc w:val="left"/>
              <w:rPr>
                <w:rStyle w:val="24"/>
                <w:rFonts w:eastAsia="方正仿宋_GBK"/>
                <w:b w:val="0"/>
                <w:bCs w:val="0"/>
                <w:color w:val="000000"/>
                <w:sz w:val="24"/>
              </w:rPr>
            </w:pPr>
            <w:r>
              <w:rPr>
                <w:rStyle w:val="24"/>
                <w:rFonts w:eastAsia="方正仿宋_GBK"/>
                <w:b w:val="0"/>
                <w:bCs w:val="0"/>
                <w:color w:val="000000"/>
                <w:sz w:val="24"/>
              </w:rPr>
              <w:t>全面实施准入前国民待遇加负面清单管理制度，加大总部型外资引进，提升外资综合利用水平。</w:t>
            </w:r>
          </w:p>
          <w:p>
            <w:pPr>
              <w:numPr>
                <w:ilvl w:val="0"/>
                <w:numId w:val="20"/>
              </w:numPr>
              <w:spacing w:line="320" w:lineRule="exact"/>
              <w:jc w:val="left"/>
              <w:rPr>
                <w:rFonts w:ascii="Times New Roman" w:hAnsi="Times New Roman" w:cs="Times New Roman"/>
                <w:sz w:val="24"/>
              </w:rPr>
            </w:pPr>
            <w:r>
              <w:rPr>
                <w:rStyle w:val="24"/>
                <w:rFonts w:eastAsia="方正仿宋_GBK"/>
                <w:b w:val="0"/>
                <w:bCs w:val="0"/>
                <w:color w:val="000000"/>
                <w:sz w:val="24"/>
              </w:rPr>
              <w:t>常态化组织企业参加进博会、广交会等国内行业展销会和国际性会议会展。</w:t>
            </w:r>
          </w:p>
        </w:tc>
        <w:tc>
          <w:tcPr>
            <w:tcW w:w="1799" w:type="dxa"/>
            <w:vAlign w:val="center"/>
          </w:tcPr>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市商务局</w:t>
            </w:r>
          </w:p>
          <w:p>
            <w:pPr>
              <w:spacing w:line="320" w:lineRule="exact"/>
              <w:jc w:val="center"/>
              <w:rPr>
                <w:rStyle w:val="24"/>
                <w:rFonts w:eastAsia="方正仿宋_GBK"/>
                <w:b w:val="0"/>
                <w:bCs w:val="0"/>
                <w:color w:val="000000"/>
                <w:sz w:val="24"/>
              </w:rPr>
            </w:pPr>
            <w:r>
              <w:rPr>
                <w:rStyle w:val="24"/>
                <w:rFonts w:eastAsia="方正仿宋_GBK"/>
                <w:b w:val="0"/>
                <w:bCs w:val="0"/>
                <w:color w:val="000000"/>
                <w:sz w:val="24"/>
              </w:rPr>
              <w:t>市发改委</w:t>
            </w:r>
          </w:p>
          <w:p>
            <w:pPr>
              <w:spacing w:line="320" w:lineRule="exact"/>
              <w:jc w:val="center"/>
              <w:rPr>
                <w:rFonts w:ascii="Times New Roman" w:hAnsi="Times New Roman" w:eastAsia="方正仿宋_GBK" w:cs="Times New Roman"/>
                <w:sz w:val="24"/>
              </w:rPr>
            </w:pPr>
            <w:r>
              <w:rPr>
                <w:rStyle w:val="24"/>
                <w:rFonts w:eastAsia="方正仿宋_GBK"/>
                <w:b w:val="0"/>
                <w:bCs w:val="0"/>
                <w:color w:val="000000"/>
                <w:sz w:val="24"/>
              </w:rPr>
              <w:t>市工信局</w:t>
            </w:r>
          </w:p>
        </w:tc>
      </w:tr>
    </w:tbl>
    <w:p>
      <w:pPr>
        <w:spacing w:line="587"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3"/>
        <w:keepNext/>
        <w:keepLines/>
        <w:widowControl/>
        <w:spacing w:before="120" w:beforeAutospacing="0" w:after="120" w:afterAutospacing="0"/>
        <w:rPr>
          <w:rFonts w:hint="default" w:ascii="Times New Roman" w:hAnsi="Times New Roman" w:eastAsia="方正黑体_GBK"/>
          <w:b w:val="0"/>
          <w:sz w:val="32"/>
          <w:szCs w:val="44"/>
          <w:lang w:bidi="bo-CN"/>
        </w:rPr>
      </w:pPr>
      <w:bookmarkStart w:id="30" w:name="_Toc25783"/>
      <w:bookmarkStart w:id="31" w:name="_Toc28914"/>
      <w:r>
        <w:rPr>
          <w:rFonts w:hint="default" w:ascii="Times New Roman" w:hAnsi="Times New Roman" w:eastAsia="方正黑体_GBK"/>
          <w:b w:val="0"/>
          <w:sz w:val="32"/>
          <w:szCs w:val="44"/>
          <w:lang w:bidi="bo-CN"/>
        </w:rPr>
        <w:t>附件2：《东台市绿色智造五年行动计划（2021-2025年）》重点项目表</w:t>
      </w:r>
      <w:bookmarkEnd w:id="30"/>
      <w:bookmarkEnd w:id="31"/>
    </w:p>
    <w:tbl>
      <w:tblPr>
        <w:tblStyle w:val="16"/>
        <w:tblW w:w="13645" w:type="dxa"/>
        <w:jc w:val="center"/>
        <w:tblLayout w:type="fixed"/>
        <w:tblCellMar>
          <w:top w:w="0" w:type="dxa"/>
          <w:left w:w="108" w:type="dxa"/>
          <w:bottom w:w="0" w:type="dxa"/>
          <w:right w:w="108" w:type="dxa"/>
        </w:tblCellMar>
      </w:tblPr>
      <w:tblGrid>
        <w:gridCol w:w="787"/>
        <w:gridCol w:w="2700"/>
        <w:gridCol w:w="1602"/>
        <w:gridCol w:w="1431"/>
        <w:gridCol w:w="5626"/>
        <w:gridCol w:w="1499"/>
      </w:tblGrid>
      <w:tr>
        <w:tblPrEx>
          <w:tblCellMar>
            <w:top w:w="0" w:type="dxa"/>
            <w:left w:w="108" w:type="dxa"/>
            <w:bottom w:w="0" w:type="dxa"/>
            <w:right w:w="108" w:type="dxa"/>
          </w:tblCellMar>
        </w:tblPrEx>
        <w:trPr>
          <w:trHeight w:val="600" w:hRule="atLeast"/>
          <w:jc w:val="center"/>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lang w:bidi="ar"/>
              </w:rPr>
              <w:t>序号</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lang w:bidi="ar"/>
              </w:rPr>
              <w:t>项目名称</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lang w:bidi="ar"/>
              </w:rPr>
              <w:t>计划总投资</w:t>
            </w:r>
            <w:r>
              <w:rPr>
                <w:rFonts w:hint="eastAsia" w:ascii="Times New Roman" w:hAnsi="Times New Roman" w:eastAsia="方正黑体_GBK" w:cs="Times New Roman"/>
                <w:color w:val="000000"/>
                <w:kern w:val="0"/>
                <w:sz w:val="24"/>
                <w:lang w:bidi="ar"/>
              </w:rPr>
              <w:t>（万元）</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lang w:bidi="ar"/>
              </w:rPr>
              <w:t>建设期限</w:t>
            </w:r>
          </w:p>
        </w:tc>
        <w:tc>
          <w:tcPr>
            <w:tcW w:w="5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lang w:bidi="ar"/>
              </w:rPr>
              <w:t>建设内容</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黑体_GBK" w:cs="Times New Roman"/>
                <w:color w:val="000000"/>
                <w:sz w:val="24"/>
              </w:rPr>
            </w:pPr>
            <w:r>
              <w:rPr>
                <w:rFonts w:ascii="Times New Roman" w:hAnsi="Times New Roman" w:eastAsia="方正黑体_GBK" w:cs="Times New Roman"/>
                <w:color w:val="000000"/>
                <w:kern w:val="0"/>
                <w:sz w:val="24"/>
                <w:lang w:bidi="ar"/>
              </w:rPr>
              <w:t>责任单位</w:t>
            </w:r>
          </w:p>
        </w:tc>
      </w:tr>
      <w:tr>
        <w:tblPrEx>
          <w:tblCellMar>
            <w:top w:w="0" w:type="dxa"/>
            <w:left w:w="108" w:type="dxa"/>
            <w:bottom w:w="0" w:type="dxa"/>
            <w:right w:w="108" w:type="dxa"/>
          </w:tblCellMar>
        </w:tblPrEx>
        <w:trPr>
          <w:trHeight w:val="400" w:hRule="atLeast"/>
          <w:jc w:val="center"/>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color w:val="000000"/>
                <w:sz w:val="24"/>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color w:val="000000"/>
                <w:sz w:val="24"/>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color w:val="000000"/>
                <w:sz w:val="24"/>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color w:val="000000"/>
                <w:sz w:val="24"/>
              </w:rPr>
            </w:pPr>
          </w:p>
        </w:tc>
        <w:tc>
          <w:tcPr>
            <w:tcW w:w="5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color w:val="000000"/>
                <w:sz w:val="24"/>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color w:val="000000"/>
                <w:sz w:val="24"/>
              </w:rPr>
            </w:pPr>
          </w:p>
        </w:tc>
      </w:tr>
      <w:tr>
        <w:tblPrEx>
          <w:tblCellMar>
            <w:top w:w="0" w:type="dxa"/>
            <w:left w:w="108" w:type="dxa"/>
            <w:bottom w:w="0" w:type="dxa"/>
            <w:right w:w="108" w:type="dxa"/>
          </w:tblCellMar>
        </w:tblPrEx>
        <w:trPr>
          <w:trHeight w:val="315" w:hRule="atLeast"/>
          <w:jc w:val="center"/>
        </w:trPr>
        <w:tc>
          <w:tcPr>
            <w:tcW w:w="34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b/>
                <w:bCs/>
                <w:color w:val="000000"/>
                <w:sz w:val="24"/>
              </w:rPr>
            </w:pPr>
            <w:r>
              <w:rPr>
                <w:rFonts w:ascii="Times New Roman" w:hAnsi="Times New Roman" w:eastAsia="方正仿宋_GBK" w:cs="Times New Roman"/>
                <w:b/>
                <w:bCs/>
                <w:color w:val="000000"/>
                <w:kern w:val="0"/>
                <w:sz w:val="24"/>
                <w:lang w:bidi="ar"/>
              </w:rPr>
              <w:t>一、工业项目（24项）</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b/>
                <w:bCs/>
                <w:color w:val="000000"/>
                <w:sz w:val="24"/>
              </w:rPr>
            </w:pPr>
            <w:r>
              <w:rPr>
                <w:rFonts w:ascii="Times New Roman" w:hAnsi="Times New Roman" w:eastAsia="方正仿宋_GBK" w:cs="Times New Roman"/>
                <w:b/>
                <w:bCs/>
                <w:color w:val="000000"/>
                <w:kern w:val="0"/>
                <w:sz w:val="24"/>
                <w:lang w:bidi="ar"/>
              </w:rPr>
              <w:t xml:space="preserve">4707000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b/>
                <w:bCs/>
                <w:color w:val="000000"/>
                <w:sz w:val="24"/>
              </w:rPr>
            </w:pP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Times New Roman" w:hAnsi="Times New Roman" w:eastAsia="方正仿宋_GBK" w:cs="Times New Roman"/>
                <w:b/>
                <w:bCs/>
                <w:color w:val="000000"/>
                <w:sz w:val="24"/>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b/>
                <w:bCs/>
                <w:color w:val="000000"/>
                <w:sz w:val="24"/>
              </w:rPr>
            </w:pP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宇量新能源动力电池</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1000000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2022-2024</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占地670亩，建设年产20Gwh新能源动力电池研发与制造基地。其中一期征地200亩，年产新能源动力电池5Gwh，二期计划征地470亩，年产新能源动力电池15Gwh。</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领胜城3C相关系列组件模组及高性能材料</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500000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2021-2023</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占地300亩，新增建筑面积35万平方米，购置组装机、测试机、模组组装生产线、冲压回流焊生产线等设备，年产各类3C相关系统组件模组3亿件（只）、高性能材料900万平方米。</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东富龙智能装备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150000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2021-2022</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占地300亩，新增建筑面积30万平方米，购置CNC加工中心、数控车床、数控铣床等设备，年产各类智能化食品用设备1万台（套）。</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126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耀鸿高频、高速覆铜板及多层板连接片生产</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120000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2021-2022</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项目新增用地180亩，新增建筑面积约9万平方米，购置压机、空压机、上胶机、回流线等设备，预计项目竣工投产后，年产高频、高速覆铜板约600万平方米、多层板连接片约1000万米。</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喜锐电脑键盘及FPC刚挠结合板</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125000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2020-2022</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占地202亩，新增建筑面积18万平方米，购置印刷机、贴合机、覆膜机、冲床等设备，年产电脑键盘5000万套、FPC刚挠结合板90万平方米。</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126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鼎邦智能装备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占地208亩，新增建筑面积21.7万平方米，购置双面数控铣、数控加工中心、数控卷板机、刨边机、射线探伤机、双面铣边机、机器人等设备，年产换热器/空冷器等换热设备6.5万吨。</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中洲特种合金装备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占地106亩，新增建筑面积10万平方米，购置快锻机、电动螺旋压机、热处理炉、锯床等设备，年产各类特种合金制品1万吨。</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同益电子材料</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占地100亩，新增建筑面积10万平方米，购置购置挤出机、切板机、注塑机、裁边机等设备，年产新型电子棒材3.5万吨。</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天永智能装备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占地195亩，新增建筑面积15万平方米，购置CNC、卧式数控镗床、精雕机、数控铣床、激光切割机等设备，年产各类汽车、电子智能成套装备2000台（套）。</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126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金利美精密组件</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72000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占地154亩，新增建筑面积13.3万平方米，购置全自动数控冲床、CNC机床、全自动油压机、精密电火花线切割机、激光焊接机等设备，年产显示器外观结构件200万套、伺服器总成组装100万台。</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157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国显LED封装测试</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50000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租用标准厂房，购置高精度高速全自动固晶机、焊线机、高精度高速点胶机、LED精密烤箱、高精度高速全自动分光机、高精度高速全自动编带机等设备，外购LED晶粒、电子芯片等为原材料，年产各类发光二级体LED、电子元器件、Mini和MicroLED及其他各类显示应用产品1000万件。</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元诚新型电子元器件</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50000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2021-2022</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利用友新光电原有2万平厂房，新建5万平厂房及配套，年产各类新型电子元器件1.2亿（件）只。</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开发区</w:t>
            </w:r>
          </w:p>
        </w:tc>
      </w:tr>
      <w:tr>
        <w:tblPrEx>
          <w:tblCellMar>
            <w:top w:w="0" w:type="dxa"/>
            <w:left w:w="108" w:type="dxa"/>
            <w:bottom w:w="0" w:type="dxa"/>
            <w:right w:w="108" w:type="dxa"/>
          </w:tblCellMar>
        </w:tblPrEx>
        <w:trPr>
          <w:trHeight w:val="31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赛维5GW网光伏项目</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500000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2022-2025</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建设高质量5GW光伏组件。</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高新区</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鑫科森笔电、智能穿戴类精密零部件</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120000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2021-2022</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租用东方智谷产业园北区，新上冲压、组装、表面处理、抛光、清洗等设备1000余台套，年产笔记本电脑、智能穿戴产品、智能通讯终端精密金属组件和结构件1亿件。</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高新区</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东坤新能源智能装备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60000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租用厂房7.2万平方米，购置光伏组件生产线、充电桩生产线及相关配套设备。项目全部建成后，可年产光伏组件2GW、充电桩30万台。</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高新区</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羿昇智能装备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50000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2022-2022</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租用厂房4万平方米，新上自动化智能装备及配件生产线及配套设施，项目建成后，年产智能化装备1000台，高性能数控刀具300万只，真空镀膜配件360万只。</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高新区</w:t>
            </w:r>
          </w:p>
        </w:tc>
      </w:tr>
      <w:tr>
        <w:tblPrEx>
          <w:tblCellMar>
            <w:top w:w="0" w:type="dxa"/>
            <w:left w:w="108" w:type="dxa"/>
            <w:bottom w:w="0" w:type="dxa"/>
            <w:right w:w="108" w:type="dxa"/>
          </w:tblCellMar>
        </w:tblPrEx>
        <w:trPr>
          <w:trHeight w:val="30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华源医疗丁腈手套研发制造</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30000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新增用地约53亩，新建厂房、办公楼等2.5万平方米，新上8条丁腈生产线，预计项目建成后，年产丁腈手套30亿只。</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高新区</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能源岛海上风光氢能示范项目</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1200000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2022-2025</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氢能、智慧综合能源、光伏及BIPV等建设，建设绿色只能建筑示范区。</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沿海区</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东沪特种电线电缆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50000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2022-2025</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用地114亩，新建厂房60000平方米，购置束丝机、高速绞线机、挤塑机、成缆机、编织机等设备，年产特种线缆12万千米。</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东台镇</w:t>
            </w:r>
          </w:p>
        </w:tc>
      </w:tr>
      <w:tr>
        <w:tblPrEx>
          <w:tblCellMar>
            <w:top w:w="0" w:type="dxa"/>
            <w:left w:w="108" w:type="dxa"/>
            <w:bottom w:w="0" w:type="dxa"/>
            <w:right w:w="108" w:type="dxa"/>
          </w:tblCellMar>
        </w:tblPrEx>
        <w:trPr>
          <w:trHeight w:val="189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久钢精工合金组件</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30000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2021-2022</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项目占地88亩，新建厂房、办公楼，总建筑面积约4万平方米，新购大型激光切割机、五轴加工中心、立式、卧式龙门加工中心、薄板开平线、龙门液压机等设备，外购钢坯、不锈钢卷板、合金钢锭等原料，项目建成后预计可达年产各类非标精密配件50000吨、各类薄板结构件30000吨，以及合金钢锻压结构件、冷凝器及反应釜等设备2000吨。</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时堰镇</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荟轩智能制造</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50000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2021-2023</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占地86亩，年产工业自动控制系统1000台套，伺服马达电机3000台，各类5G通讯、气动工具、工控配件、汽车配件等系列产品1500万件。</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梁垛镇</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百适康智能健身器材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50000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2021-2023</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项目新增用地110亩，新建厂房50000平方米，购置数控激光切割机、焊接机器人、自动化喷涂线、注塑机等设备。项目投产后可年产智能健身器材50万台套。</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安丰镇</w:t>
            </w:r>
          </w:p>
        </w:tc>
      </w:tr>
      <w:tr>
        <w:tblPrEx>
          <w:tblCellMar>
            <w:top w:w="0" w:type="dxa"/>
            <w:left w:w="108" w:type="dxa"/>
            <w:bottom w:w="0" w:type="dxa"/>
            <w:right w:w="108" w:type="dxa"/>
          </w:tblCellMar>
        </w:tblPrEx>
        <w:trPr>
          <w:trHeight w:val="157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兰顺产业用纺织制成品生产</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50000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2021-2023</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项目利用土地100亩，厂房30000平方米，并新建标准厂房及办公用房约30000平方米，外购涤纶POY为原辅材料，购置高速加弹机、经编机、自动圆形纬编机等设备。预计项目竣工投产后，年产涤纶DTY144000吨、经编布21000吨、梭织布1800万米。</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富安镇</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润云高端纺织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50000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2021-2023</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用地105亩，建筑面积5万平方米，购置超高速喷水织机，年产高档化纤面料10亿米。</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头灶镇</w:t>
            </w:r>
          </w:p>
        </w:tc>
      </w:tr>
      <w:tr>
        <w:tblPrEx>
          <w:tblCellMar>
            <w:top w:w="0" w:type="dxa"/>
            <w:left w:w="108" w:type="dxa"/>
            <w:bottom w:w="0" w:type="dxa"/>
            <w:right w:w="108" w:type="dxa"/>
          </w:tblCellMar>
        </w:tblPrEx>
        <w:trPr>
          <w:trHeight w:val="315" w:hRule="atLeast"/>
          <w:jc w:val="center"/>
        </w:trPr>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b/>
                <w:bCs/>
                <w:color w:val="000000"/>
                <w:sz w:val="24"/>
              </w:rPr>
            </w:pPr>
            <w:r>
              <w:rPr>
                <w:rFonts w:ascii="Times New Roman" w:hAnsi="Times New Roman" w:eastAsia="方正仿宋_GBK" w:cs="Times New Roman"/>
                <w:b/>
                <w:bCs/>
                <w:color w:val="000000"/>
                <w:kern w:val="0"/>
                <w:sz w:val="24"/>
                <w:lang w:bidi="ar"/>
              </w:rPr>
              <w:t>二、现代服务业（16项）</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b/>
                <w:bCs/>
                <w:color w:val="000000"/>
                <w:sz w:val="24"/>
              </w:rPr>
            </w:pPr>
            <w:r>
              <w:rPr>
                <w:rFonts w:ascii="Times New Roman" w:hAnsi="Times New Roman" w:eastAsia="方正仿宋_GBK" w:cs="Times New Roman"/>
                <w:b/>
                <w:bCs/>
                <w:color w:val="000000"/>
                <w:kern w:val="0"/>
                <w:sz w:val="24"/>
                <w:lang w:bidi="ar"/>
              </w:rPr>
              <w:t xml:space="preserve">2591500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b/>
                <w:bCs/>
                <w:color w:val="000000"/>
                <w:sz w:val="24"/>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ascii="Times New Roman" w:hAnsi="Times New Roman" w:eastAsia="方正仿宋_GBK" w:cs="Times New Roman"/>
                <w:b/>
                <w:bCs/>
                <w:color w:val="000000"/>
                <w:sz w:val="24"/>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b/>
                <w:bCs/>
                <w:color w:val="000000"/>
                <w:sz w:val="24"/>
              </w:rPr>
            </w:pP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东台市悦禾城商业广场</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60000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2021-2022</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总用地面积156亩，主要建设22层电商大厦、红星美凯龙家居广场等。</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高新区</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电子信息产业孵化加速器</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60000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2022-2024</w:t>
            </w:r>
          </w:p>
        </w:tc>
        <w:tc>
          <w:tcPr>
            <w:tcW w:w="5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项目计划用地约165亩，总建筑面积约20万平方米，分二期实施。</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高新区</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东台东湖科创园</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15000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2020-2022</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裙楼1-4层、东西塔楼5层以上装修，招引高端商贸品牌入驻。总面积约8.8万平方米。</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高新区</w:t>
            </w:r>
          </w:p>
        </w:tc>
      </w:tr>
      <w:tr>
        <w:tblPrEx>
          <w:tblCellMar>
            <w:top w:w="0" w:type="dxa"/>
            <w:left w:w="108" w:type="dxa"/>
            <w:bottom w:w="0" w:type="dxa"/>
            <w:right w:w="108" w:type="dxa"/>
          </w:tblCellMar>
        </w:tblPrEx>
        <w:trPr>
          <w:trHeight w:val="126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长三角（东台）康养基地（启动区）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1550000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2022-2025</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启动区规划面积 5280 亩，主要建设上海瑞金医院东台院区、华东疗养院东台院区、中福会幼儿园、健康研究中心、国际会议中心、体艺共享中心、健康购物中心以及配套基础设施建设等8个功能性项目（房地产等经营性项目除外）。</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沿海区</w:t>
            </w:r>
          </w:p>
        </w:tc>
      </w:tr>
      <w:tr>
        <w:tblPrEx>
          <w:tblCellMar>
            <w:top w:w="0" w:type="dxa"/>
            <w:left w:w="108" w:type="dxa"/>
            <w:bottom w:w="0" w:type="dxa"/>
            <w:right w:w="108" w:type="dxa"/>
          </w:tblCellMar>
        </w:tblPrEx>
        <w:trPr>
          <w:trHeight w:val="22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条子泥景区建设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100000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2021-2025</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规划面积约50平方公里，以“世遗”为主题，打造入口综合服务区、湿地文化科普区、艺术创意休闲区和湿地体验区四大功能区，建设游客中心、生态停车场、商业服务区、入口形象大门、智慧景区、渔文化和海特产展示馆、摄影主题酒店、科普馆、勺嘴鹬主题馆、摄影长廊、观鸟屋、滩涂驿站、海上舞台等。“十四五”期间争创省级旅游度假区，争创国家5A级景区。</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沿海区</w:t>
            </w:r>
          </w:p>
        </w:tc>
      </w:tr>
      <w:tr>
        <w:tblPrEx>
          <w:tblCellMar>
            <w:top w:w="0" w:type="dxa"/>
            <w:left w:w="108" w:type="dxa"/>
            <w:bottom w:w="0" w:type="dxa"/>
            <w:right w:w="108" w:type="dxa"/>
          </w:tblCellMar>
        </w:tblPrEx>
        <w:trPr>
          <w:trHeight w:val="157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海韵园</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55000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2021-2022</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项目沿G228两侧分布，用地160亩，建筑面积24000平方米，其中东区占地110亩，建筑面积19000平方米，西区占地50亩，建筑面积5000平方米，主要建设综合服务、餐饮商超、游客集散、智能体验、湿地体验和宾馆酒店等。配套建设生态停车场3处，停车位3500个。</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沿海区</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盐城市海岸带生态保护修复项目（东台川水湾）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20000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对东台河口、梁垛河口湿地进行修复，打造鸟类栖息地。</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沿海区</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天仙缘小镇（续建）</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200000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2020-2023</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占地面积5平方公里，建设提升董永七仙女文化园、西溪古城、海春塔苑、犁木街、西溪植物园、千亩花海等景点。</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西溪景区</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东台西溪幸福社区</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200000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2020-2024</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占地约290.5亩，建筑面积33.7万平方米，新建安置房、幼托所、邻里中心及相关配套设施。</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西溪景区</w:t>
            </w:r>
          </w:p>
        </w:tc>
      </w:tr>
      <w:tr>
        <w:tblPrEx>
          <w:tblCellMar>
            <w:top w:w="0" w:type="dxa"/>
            <w:left w:w="108" w:type="dxa"/>
            <w:bottom w:w="0" w:type="dxa"/>
            <w:right w:w="108" w:type="dxa"/>
          </w:tblCellMar>
        </w:tblPrEx>
        <w:trPr>
          <w:trHeight w:val="31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犁木街二期</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2022-2024</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犁木街二期建设,与犁木街一期民宿融合，建设特色古街。</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西溪景区</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植物园提升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12000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植物园提升，包括东入口、道路、绿化等配套设施改造、湖滨花园酒店改造等。</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西溪景区</w:t>
            </w:r>
          </w:p>
        </w:tc>
      </w:tr>
      <w:tr>
        <w:tblPrEx>
          <w:tblCellMar>
            <w:top w:w="0" w:type="dxa"/>
            <w:left w:w="108" w:type="dxa"/>
            <w:bottom w:w="0" w:type="dxa"/>
            <w:right w:w="108" w:type="dxa"/>
          </w:tblCellMar>
        </w:tblPrEx>
        <w:trPr>
          <w:trHeight w:val="220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黄海森林公园旅游综合开发</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2022-2024</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5万平方米，总建筑面积约3万平方米，建设具有科普展示、休闲娱乐、文化宣传、信息共享、景区管理、交通集散、生态观光等功能的游客集散中心，完善海滨景区基础配套设施；利用原林场木器厂及北侧的苗圃，进行情景沉浸还原式造林，新建1.56万平方米黄海森林公园艺术森林项目，打造为黄海林工精神教育基地、森林艺术展示基地以及红色研学基地；全力推进国家5A级景区创建。</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黄海森林公园</w:t>
            </w:r>
          </w:p>
        </w:tc>
      </w:tr>
      <w:tr>
        <w:tblPrEx>
          <w:tblCellMar>
            <w:top w:w="0" w:type="dxa"/>
            <w:left w:w="108" w:type="dxa"/>
            <w:bottom w:w="0" w:type="dxa"/>
            <w:right w:w="108" w:type="dxa"/>
          </w:tblCellMar>
        </w:tblPrEx>
        <w:trPr>
          <w:trHeight w:val="33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东台黄海森林公园2020年森林旅游康养产业项目</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27500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2021-2022</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项目拟在黄海森林公园内实施，项目拟对公园内原有砂石道路进行提档升级，全长约14公里；拟实施智慧化森林建设工程，建设数据库、森林防火监测预警系统、车辆管理和调度系统、视频监控系统、应急广播系统以及营销管理系统等；拟实施林园风光建设工程，在民宿群落南侧区域建设集林药、林草、林下观光于一体的立体林园风光试点区，栽植观花、观叶、果树类植物，以及林下耐阴花卉、林下中草药等，用地面积约950亩；拟实施森林民宿提档升级工程，拟利用现状建设用地对花林路沿线原有民房改造提升，项目用地面积约48亩；拟对公园内的现有沟渠进行疏浚改造，提升森林公园内水环境，打造森林湿地长廊。</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黄海森林公园</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东台福拓恒融广场</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12000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项目新增建筑面积3.8万平方米，拟建设融合商业零售、商务办公、酒店餐饮、公寓住宅、综合娱乐等于一体的综合体。</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安丰镇</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何垛河创意文化带</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100000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2021-2022</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新增建筑12万平方米，主要建设色织二厂工坊特色街区、商业休闲街区、邻里中心、商业酒店、游戏园等，配套周边建筑风貌改造提升，展示东台文化特色重塑与城市建设新颜。</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住建局</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东台港区中心作业区物流园</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60000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建设东台港区中心作业区物流园电商仓储、电商加工库等。</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交通局</w:t>
            </w:r>
          </w:p>
        </w:tc>
      </w:tr>
      <w:tr>
        <w:tblPrEx>
          <w:tblCellMar>
            <w:top w:w="0" w:type="dxa"/>
            <w:left w:w="108" w:type="dxa"/>
            <w:bottom w:w="0" w:type="dxa"/>
            <w:right w:w="108" w:type="dxa"/>
          </w:tblCellMar>
        </w:tblPrEx>
        <w:trPr>
          <w:trHeight w:val="315" w:hRule="atLeast"/>
          <w:jc w:val="center"/>
        </w:trPr>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b/>
                <w:bCs/>
                <w:color w:val="000000"/>
                <w:sz w:val="24"/>
              </w:rPr>
            </w:pPr>
            <w:r>
              <w:rPr>
                <w:rFonts w:ascii="Times New Roman" w:hAnsi="Times New Roman" w:eastAsia="方正仿宋_GBK" w:cs="Times New Roman"/>
                <w:b/>
                <w:bCs/>
                <w:color w:val="000000"/>
                <w:kern w:val="0"/>
                <w:sz w:val="24"/>
                <w:lang w:bidi="ar"/>
              </w:rPr>
              <w:t>三、现代农业项目（</w:t>
            </w:r>
            <w:r>
              <w:rPr>
                <w:rFonts w:hint="eastAsia" w:ascii="Times New Roman" w:hAnsi="Times New Roman" w:eastAsia="方正仿宋_GBK" w:cs="Times New Roman"/>
                <w:b/>
                <w:bCs/>
                <w:color w:val="000000"/>
                <w:kern w:val="0"/>
                <w:sz w:val="24"/>
                <w:lang w:val="en-US" w:eastAsia="zh-CN" w:bidi="ar"/>
              </w:rPr>
              <w:t>8</w:t>
            </w:r>
            <w:r>
              <w:rPr>
                <w:rFonts w:ascii="Times New Roman" w:hAnsi="Times New Roman" w:eastAsia="方正仿宋_GBK" w:cs="Times New Roman"/>
                <w:b/>
                <w:bCs/>
                <w:color w:val="000000"/>
                <w:kern w:val="0"/>
                <w:sz w:val="24"/>
                <w:lang w:bidi="ar"/>
              </w:rPr>
              <w:t>项）</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b/>
                <w:bCs/>
                <w:color w:val="000000"/>
                <w:sz w:val="24"/>
              </w:rPr>
            </w:pPr>
            <w:r>
              <w:rPr>
                <w:rFonts w:hint="eastAsia" w:ascii="Times New Roman" w:hAnsi="Times New Roman" w:eastAsia="方正仿宋_GBK" w:cs="Times New Roman"/>
                <w:b/>
                <w:bCs/>
                <w:color w:val="000000"/>
                <w:kern w:val="0"/>
                <w:sz w:val="24"/>
                <w:lang w:val="en-US" w:eastAsia="zh-CN" w:bidi="ar"/>
              </w:rPr>
              <w:t>20</w:t>
            </w:r>
            <w:r>
              <w:rPr>
                <w:rFonts w:ascii="Times New Roman" w:hAnsi="Times New Roman" w:eastAsia="方正仿宋_GBK" w:cs="Times New Roman"/>
                <w:b/>
                <w:bCs/>
                <w:color w:val="000000"/>
                <w:kern w:val="0"/>
                <w:sz w:val="24"/>
                <w:lang w:bidi="ar"/>
              </w:rPr>
              <w:t xml:space="preserve">9700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b/>
                <w:bCs/>
                <w:color w:val="000000"/>
                <w:sz w:val="24"/>
              </w:rPr>
            </w:pP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ascii="Times New Roman" w:hAnsi="Times New Roman" w:eastAsia="方正仿宋_GBK" w:cs="Times New Roman"/>
                <w:b/>
                <w:bCs/>
                <w:color w:val="000000"/>
                <w:sz w:val="24"/>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方正仿宋_GBK" w:cs="Times New Roman"/>
                <w:b/>
                <w:bCs/>
                <w:color w:val="000000"/>
                <w:sz w:val="24"/>
              </w:rPr>
            </w:pP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中农联东台农副产品电商物流城</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 xml:space="preserve">60000 </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2020-2022</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占地230亩，新建农副产品交易区、冷链仓库、展销中心、检测中心、招商中心、配套商业等。</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五烈镇</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致农农产品精深加工</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50000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2021-2023</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项目新增用地125亩，建筑面积为75000平方米，一期占地75亩，新增建筑面积40000平方米，新上10条食品生产线。</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沿海区</w:t>
            </w:r>
          </w:p>
        </w:tc>
      </w:tr>
      <w:tr>
        <w:tblPrEx>
          <w:tblCellMar>
            <w:top w:w="0" w:type="dxa"/>
            <w:left w:w="108" w:type="dxa"/>
            <w:bottom w:w="0" w:type="dxa"/>
            <w:right w:w="108" w:type="dxa"/>
          </w:tblCellMar>
        </w:tblPrEx>
        <w:trPr>
          <w:trHeight w:val="63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color w:val="000000"/>
                <w:kern w:val="0"/>
                <w:sz w:val="24"/>
                <w:lang w:val="en-US" w:eastAsia="zh-CN" w:bidi="ar"/>
              </w:rPr>
            </w:pPr>
            <w:r>
              <w:rPr>
                <w:rFonts w:hint="eastAsia" w:ascii="Times New Roman" w:hAnsi="Times New Roman" w:eastAsia="方正仿宋_GBK" w:cs="Times New Roman"/>
                <w:color w:val="000000"/>
                <w:kern w:val="0"/>
                <w:sz w:val="24"/>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kern w:val="0"/>
                <w:sz w:val="24"/>
                <w:lang w:bidi="ar"/>
              </w:rPr>
            </w:pPr>
            <w:r>
              <w:rPr>
                <w:rFonts w:hint="eastAsia" w:ascii="Times New Roman" w:hAnsi="Times New Roman" w:eastAsia="方正仿宋_GBK" w:cs="Times New Roman"/>
                <w:color w:val="000000"/>
                <w:kern w:val="0"/>
                <w:sz w:val="24"/>
                <w:lang w:bidi="ar"/>
              </w:rPr>
              <w:t>海升优质农产品深加工</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rPr>
                <w:rFonts w:ascii="Times New Roman" w:hAnsi="Times New Roman" w:eastAsia="方正仿宋_GBK" w:cs="Times New Roman"/>
                <w:color w:val="000000"/>
                <w:kern w:val="0"/>
                <w:sz w:val="24"/>
                <w:lang w:bidi="ar"/>
              </w:rPr>
            </w:pPr>
            <w:r>
              <w:rPr>
                <w:rFonts w:hint="eastAsia" w:ascii="Times" w:hAnsi="Times"/>
                <w:sz w:val="24"/>
                <w:szCs w:val="24"/>
              </w:rPr>
              <w:t>30000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rPr>
                <w:rFonts w:ascii="Times New Roman" w:hAnsi="Times New Roman" w:eastAsia="方正仿宋_GBK" w:cs="Times New Roman"/>
                <w:color w:val="000000"/>
                <w:kern w:val="0"/>
                <w:sz w:val="24"/>
                <w:lang w:bidi="ar"/>
              </w:rPr>
            </w:pPr>
            <w:r>
              <w:rPr>
                <w:rFonts w:hint="eastAsia" w:ascii="Times" w:hAnsi="Times"/>
                <w:b w:val="0"/>
                <w:bCs w:val="0"/>
                <w:sz w:val="24"/>
                <w:szCs w:val="24"/>
              </w:rPr>
              <w:t>2021-2022</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kern w:val="0"/>
                <w:sz w:val="24"/>
                <w:lang w:bidi="ar"/>
              </w:rPr>
            </w:pPr>
            <w:r>
              <w:rPr>
                <w:rFonts w:hint="eastAsia" w:ascii="Times New Roman" w:hAnsi="Times New Roman" w:eastAsia="方正仿宋_GBK" w:cs="Times New Roman"/>
                <w:color w:val="000000"/>
                <w:kern w:val="0"/>
                <w:sz w:val="24"/>
                <w:lang w:bidi="ar"/>
              </w:rPr>
              <w:t>项目位于园区核心区，建筑面积约4万平方米，拟投资3亿元，主要承载果蔬鲜切、果蔬沙拉、果汁深加工等功能。项目建成后预计年产值10亿元，税收1亿元。</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kern w:val="0"/>
                <w:sz w:val="24"/>
                <w:lang w:bidi="ar"/>
              </w:rPr>
            </w:pPr>
            <w:r>
              <w:rPr>
                <w:rFonts w:hint="eastAsia" w:ascii="Times New Roman" w:hAnsi="Times New Roman" w:eastAsia="方正仿宋_GBK" w:cs="Times New Roman"/>
                <w:color w:val="000000"/>
                <w:kern w:val="0"/>
                <w:sz w:val="24"/>
                <w:lang w:bidi="ar"/>
              </w:rPr>
              <w:t>三仓镇</w:t>
            </w:r>
          </w:p>
        </w:tc>
      </w:tr>
      <w:tr>
        <w:tblPrEx>
          <w:tblCellMar>
            <w:top w:w="0" w:type="dxa"/>
            <w:left w:w="108" w:type="dxa"/>
            <w:bottom w:w="0" w:type="dxa"/>
            <w:right w:w="108" w:type="dxa"/>
          </w:tblCellMar>
        </w:tblPrEx>
        <w:trPr>
          <w:trHeight w:val="518"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color w:val="000000"/>
                <w:sz w:val="24"/>
                <w:lang w:eastAsia="zh-CN"/>
              </w:rPr>
            </w:pPr>
            <w:r>
              <w:rPr>
                <w:rFonts w:hint="eastAsia" w:ascii="Times New Roman" w:hAnsi="Times New Roman" w:eastAsia="方正仿宋_GBK" w:cs="Times New Roman"/>
                <w:color w:val="000000"/>
                <w:kern w:val="0"/>
                <w:sz w:val="24"/>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kern w:val="0"/>
                <w:sz w:val="24"/>
                <w:lang w:bidi="ar"/>
              </w:rPr>
            </w:pPr>
            <w:r>
              <w:rPr>
                <w:rFonts w:ascii="Times New Roman" w:hAnsi="Times New Roman" w:eastAsia="方正仿宋_GBK" w:cs="Times New Roman"/>
                <w:color w:val="000000"/>
                <w:kern w:val="0"/>
                <w:sz w:val="24"/>
                <w:lang w:bidi="ar"/>
              </w:rPr>
              <w:t>三仓绿色食品工业园</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kern w:val="0"/>
                <w:sz w:val="24"/>
                <w:lang w:bidi="ar"/>
              </w:rPr>
            </w:pPr>
            <w:r>
              <w:rPr>
                <w:rFonts w:ascii="Times New Roman" w:hAnsi="Times New Roman" w:eastAsia="方正仿宋_GBK" w:cs="Times New Roman"/>
                <w:color w:val="000000"/>
                <w:kern w:val="0"/>
                <w:sz w:val="24"/>
                <w:lang w:bidi="ar"/>
              </w:rPr>
              <w:t>占地面积60亩，先期建设标准厂房4万平米，打造以农副产品食品深加工为主导，以食品机械为支撑，集绿色食品加工、冷链物流交易、研发孵化为一体的东台市工业转型升级示范区。</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kern w:val="0"/>
                <w:sz w:val="24"/>
                <w:lang w:bidi="ar"/>
              </w:rPr>
            </w:pPr>
            <w:r>
              <w:rPr>
                <w:rFonts w:ascii="Times New Roman" w:hAnsi="Times New Roman" w:eastAsia="方正仿宋_GBK" w:cs="Times New Roman"/>
                <w:color w:val="000000"/>
                <w:kern w:val="0"/>
                <w:sz w:val="24"/>
                <w:lang w:bidi="ar"/>
              </w:rPr>
              <w:t>三仓镇</w:t>
            </w:r>
            <w:r>
              <w:rPr>
                <w:rFonts w:ascii="Times New Roman" w:hAnsi="Times New Roman" w:eastAsia="方正仿宋_GBK" w:cs="Times New Roman"/>
                <w:color w:val="000000"/>
                <w:kern w:val="0"/>
                <w:sz w:val="24"/>
                <w:lang w:bidi="ar"/>
              </w:rPr>
              <w:br w:type="textWrapping"/>
            </w:r>
            <w:r>
              <w:rPr>
                <w:rFonts w:ascii="Times New Roman" w:hAnsi="Times New Roman" w:eastAsia="方正仿宋_GBK" w:cs="Times New Roman"/>
                <w:color w:val="000000"/>
                <w:kern w:val="0"/>
                <w:sz w:val="24"/>
                <w:lang w:bidi="ar"/>
              </w:rPr>
              <w:t>农投公司</w:t>
            </w:r>
          </w:p>
        </w:tc>
      </w:tr>
      <w:tr>
        <w:tblPrEx>
          <w:tblCellMar>
            <w:top w:w="0" w:type="dxa"/>
            <w:left w:w="108" w:type="dxa"/>
            <w:bottom w:w="0" w:type="dxa"/>
            <w:right w:w="108" w:type="dxa"/>
          </w:tblCellMar>
        </w:tblPrEx>
        <w:trPr>
          <w:trHeight w:val="126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color w:val="000000"/>
                <w:kern w:val="0"/>
                <w:sz w:val="24"/>
                <w:lang w:val="en-US" w:eastAsia="zh-CN" w:bidi="ar"/>
              </w:rPr>
            </w:pPr>
            <w:r>
              <w:rPr>
                <w:rFonts w:hint="eastAsia" w:ascii="Times New Roman" w:hAnsi="Times New Roman" w:eastAsia="方正仿宋_GBK" w:cs="Times New Roman"/>
                <w:color w:val="000000"/>
                <w:kern w:val="0"/>
                <w:sz w:val="24"/>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kern w:val="0"/>
                <w:sz w:val="24"/>
                <w:lang w:bidi="ar"/>
              </w:rPr>
            </w:pPr>
            <w:r>
              <w:rPr>
                <w:rFonts w:hint="eastAsia" w:ascii="Times New Roman" w:hAnsi="Times New Roman" w:eastAsia="方正仿宋_GBK" w:cs="Times New Roman"/>
                <w:color w:val="000000"/>
                <w:kern w:val="0"/>
                <w:sz w:val="24"/>
                <w:lang w:bidi="ar"/>
              </w:rPr>
              <w:t>晟之光蛋粉生产</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kern w:val="0"/>
                <w:sz w:val="24"/>
                <w:lang w:bidi="ar"/>
              </w:rPr>
            </w:pPr>
            <w:r>
              <w:rPr>
                <w:rFonts w:hint="eastAsia" w:ascii="Times New Roman" w:hAnsi="Times New Roman" w:eastAsia="方正仿宋_GBK" w:cs="Times New Roman"/>
                <w:color w:val="000000"/>
                <w:kern w:val="0"/>
                <w:sz w:val="24"/>
                <w:lang w:bidi="ar"/>
              </w:rPr>
              <w:t>10000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kern w:val="0"/>
                <w:sz w:val="24"/>
                <w:lang w:bidi="ar"/>
              </w:rPr>
            </w:pPr>
            <w:r>
              <w:rPr>
                <w:rFonts w:hint="eastAsia" w:ascii="Times New Roman" w:hAnsi="Times New Roman" w:eastAsia="方正仿宋_GBK" w:cs="Times New Roman"/>
                <w:color w:val="000000"/>
                <w:kern w:val="0"/>
                <w:sz w:val="24"/>
                <w:lang w:bidi="ar"/>
              </w:rPr>
              <w:t>2022-2023</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kern w:val="0"/>
                <w:sz w:val="24"/>
                <w:lang w:bidi="ar"/>
              </w:rPr>
            </w:pPr>
            <w:r>
              <w:rPr>
                <w:rFonts w:hint="eastAsia" w:ascii="Times New Roman" w:hAnsi="Times New Roman" w:eastAsia="方正仿宋_GBK" w:cs="Times New Roman"/>
                <w:color w:val="000000"/>
                <w:kern w:val="0"/>
                <w:sz w:val="24"/>
                <w:lang w:bidi="ar"/>
              </w:rPr>
              <w:t>项目用地约30亩，新建厂房面积约1.2万平方米，引进丹麦赛诺沃科技有限公司加工生产线，购置上蛋机、打蛋机、蛋液过滤和蛋液冷却系统、巴氏杀菌系统、喷淋干燥等设备，外购鸡蛋、包装袋等原材料。项目建成后，预计年可产蛋粉、蛋液1万吨。</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kern w:val="0"/>
                <w:sz w:val="24"/>
                <w:lang w:bidi="ar"/>
              </w:rPr>
            </w:pPr>
            <w:r>
              <w:rPr>
                <w:rFonts w:hint="eastAsia" w:ascii="Times New Roman" w:hAnsi="Times New Roman" w:eastAsia="方正仿宋_GBK" w:cs="Times New Roman"/>
                <w:color w:val="000000"/>
                <w:kern w:val="0"/>
                <w:sz w:val="24"/>
                <w:lang w:bidi="ar"/>
              </w:rPr>
              <w:t>三仓镇</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color w:val="000000"/>
                <w:sz w:val="24"/>
                <w:lang w:eastAsia="zh-CN"/>
              </w:rPr>
            </w:pPr>
            <w:r>
              <w:rPr>
                <w:rFonts w:hint="eastAsia" w:ascii="Times New Roman" w:hAnsi="Times New Roman" w:eastAsia="方正仿宋_GBK" w:cs="Times New Roman"/>
                <w:color w:val="000000"/>
                <w:kern w:val="0"/>
                <w:sz w:val="24"/>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东台市粮库新建工程</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24700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2022-2024</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kern w:val="0"/>
                <w:sz w:val="24"/>
                <w:lang w:bidi="ar"/>
              </w:rPr>
            </w:pPr>
            <w:r>
              <w:rPr>
                <w:rFonts w:ascii="Times New Roman" w:hAnsi="Times New Roman" w:eastAsia="方正仿宋_GBK" w:cs="Times New Roman"/>
                <w:color w:val="000000"/>
                <w:kern w:val="0"/>
                <w:sz w:val="24"/>
                <w:lang w:bidi="ar"/>
              </w:rPr>
              <w:t>项目建议书、用地红线、选址意见、土地预审书已办结；社会稳定风险评估和项目可行性研究报告编制已完成待审批。土地征用前期手续，征用、安置两个公告正在办理中。</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发改委</w:t>
            </w:r>
          </w:p>
        </w:tc>
      </w:tr>
      <w:tr>
        <w:tblPrEx>
          <w:tblCellMar>
            <w:top w:w="0" w:type="dxa"/>
            <w:left w:w="108" w:type="dxa"/>
            <w:bottom w:w="0" w:type="dxa"/>
            <w:right w:w="108" w:type="dxa"/>
          </w:tblCellMar>
        </w:tblPrEx>
        <w:trPr>
          <w:trHeight w:val="126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color w:val="000000"/>
                <w:sz w:val="24"/>
                <w:lang w:eastAsia="zh-CN"/>
              </w:rPr>
            </w:pPr>
            <w:r>
              <w:rPr>
                <w:rFonts w:hint="eastAsia" w:ascii="Times New Roman" w:hAnsi="Times New Roman" w:eastAsia="方正仿宋_GBK" w:cs="Times New Roman"/>
                <w:color w:val="000000"/>
                <w:kern w:val="0"/>
                <w:sz w:val="24"/>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东台农业科创服务园</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13000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2021-2022</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打造农科创服中心、农科孵化中心、农科培训中心、农科创客中心 “四大中心”，构建农业农村大数据平台、农业新装备展示平台、农业试验检测共享平台、农业科技公共服务平台、农业科技企业集聚创新平台。</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农业农村局</w:t>
            </w:r>
            <w:r>
              <w:rPr>
                <w:rFonts w:ascii="Times New Roman" w:hAnsi="Times New Roman" w:eastAsia="方正仿宋_GBK" w:cs="Times New Roman"/>
                <w:color w:val="000000"/>
                <w:kern w:val="0"/>
                <w:sz w:val="24"/>
                <w:lang w:bidi="ar"/>
              </w:rPr>
              <w:br w:type="textWrapping"/>
            </w:r>
            <w:r>
              <w:rPr>
                <w:rFonts w:ascii="Times New Roman" w:hAnsi="Times New Roman" w:eastAsia="方正仿宋_GBK" w:cs="Times New Roman"/>
                <w:color w:val="000000"/>
                <w:kern w:val="0"/>
                <w:sz w:val="24"/>
                <w:lang w:bidi="ar"/>
              </w:rPr>
              <w:t>农投公司</w:t>
            </w:r>
          </w:p>
        </w:tc>
      </w:tr>
      <w:tr>
        <w:tblPrEx>
          <w:tblCellMar>
            <w:top w:w="0" w:type="dxa"/>
            <w:left w:w="108" w:type="dxa"/>
            <w:bottom w:w="0" w:type="dxa"/>
            <w:right w:w="108" w:type="dxa"/>
          </w:tblCellMar>
        </w:tblPrEx>
        <w:trPr>
          <w:trHeight w:val="94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color w:val="000000"/>
                <w:sz w:val="24"/>
                <w:lang w:eastAsia="zh-CN"/>
              </w:rPr>
            </w:pPr>
            <w:r>
              <w:rPr>
                <w:rFonts w:hint="eastAsia" w:ascii="Times New Roman" w:hAnsi="Times New Roman" w:eastAsia="方正仿宋_GBK" w:cs="Times New Roman"/>
                <w:color w:val="000000"/>
                <w:kern w:val="0"/>
                <w:sz w:val="24"/>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东台数字农业集运加工中心</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7000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2022-2022</w:t>
            </w:r>
          </w:p>
        </w:tc>
        <w:tc>
          <w:tcPr>
            <w:tcW w:w="5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占地面积60亩，依托“东台大粮仓”区域公用品牌，建成功能叠加的电商“产地仓”1万平米，探索产、供、销环节全链路运营新模式。</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农投公司</w:t>
            </w:r>
          </w:p>
        </w:tc>
      </w:tr>
    </w:tbl>
    <w:p>
      <w:pPr>
        <w:rPr>
          <w:rFonts w:ascii="Times New Roman" w:hAnsi="Times New Roman" w:eastAsia="方正仿宋_GBK" w:cs="Times New Roman"/>
          <w:szCs w:val="21"/>
        </w:rPr>
      </w:pPr>
    </w:p>
    <w:sectPr>
      <w:footerReference r:id="rId4" w:type="default"/>
      <w:pgSz w:w="16838" w:h="11906" w:orient="landscape"/>
      <w:pgMar w:top="1417" w:right="2154" w:bottom="141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35222"/>
    </w:sdtPr>
    <w:sdtContent>
      <w:p>
        <w:pPr>
          <w:pStyle w:val="10"/>
          <w:jc w:val="center"/>
        </w:pPr>
        <w:r>
          <w:rPr>
            <w:rFonts w:hint="eastAsia"/>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18</w:t>
        </w:r>
        <w:r>
          <w:rPr>
            <w:rFonts w:ascii="Times New Roman" w:hAnsi="Times New Roman" w:cs="Times New Roman"/>
            <w:sz w:val="21"/>
            <w:szCs w:val="21"/>
          </w:rPr>
          <w:fldChar w:fldCharType="end"/>
        </w:r>
        <w:r>
          <w:rPr>
            <w:rFonts w:hint="eastAsia"/>
          </w:rPr>
          <w:t>—</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26518"/>
    </w:sdtPr>
    <w:sdtContent>
      <w:p>
        <w:pPr>
          <w:pStyle w:val="10"/>
          <w:jc w:val="center"/>
        </w:pPr>
        <w:r>
          <w:rPr>
            <w:rFonts w:hint="eastAsia"/>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18</w:t>
        </w:r>
        <w:r>
          <w:rPr>
            <w:rFonts w:ascii="Times New Roman" w:hAnsi="Times New Roman" w:cs="Times New Roman"/>
            <w:sz w:val="21"/>
            <w:szCs w:val="21"/>
          </w:rPr>
          <w:fldChar w:fldCharType="end"/>
        </w:r>
        <w:r>
          <w:rPr>
            <w:rFonts w:hint="eastAsia"/>
          </w:rPr>
          <w:t>—</w:t>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3AB28"/>
    <w:multiLevelType w:val="singleLevel"/>
    <w:tmpl w:val="92C3AB28"/>
    <w:lvl w:ilvl="0" w:tentative="0">
      <w:start w:val="1"/>
      <w:numFmt w:val="decimal"/>
      <w:suff w:val="nothing"/>
      <w:lvlText w:val="%1、"/>
      <w:lvlJc w:val="left"/>
    </w:lvl>
  </w:abstractNum>
  <w:abstractNum w:abstractNumId="1">
    <w:nsid w:val="9F9E220A"/>
    <w:multiLevelType w:val="singleLevel"/>
    <w:tmpl w:val="9F9E220A"/>
    <w:lvl w:ilvl="0" w:tentative="0">
      <w:start w:val="1"/>
      <w:numFmt w:val="decimal"/>
      <w:suff w:val="nothing"/>
      <w:lvlText w:val="%1、"/>
      <w:lvlJc w:val="left"/>
    </w:lvl>
  </w:abstractNum>
  <w:abstractNum w:abstractNumId="2">
    <w:nsid w:val="A7347A83"/>
    <w:multiLevelType w:val="singleLevel"/>
    <w:tmpl w:val="A7347A83"/>
    <w:lvl w:ilvl="0" w:tentative="0">
      <w:start w:val="1"/>
      <w:numFmt w:val="decimal"/>
      <w:suff w:val="nothing"/>
      <w:lvlText w:val="%1、"/>
      <w:lvlJc w:val="left"/>
    </w:lvl>
  </w:abstractNum>
  <w:abstractNum w:abstractNumId="3">
    <w:nsid w:val="B1EB5B19"/>
    <w:multiLevelType w:val="singleLevel"/>
    <w:tmpl w:val="B1EB5B19"/>
    <w:lvl w:ilvl="0" w:tentative="0">
      <w:start w:val="1"/>
      <w:numFmt w:val="decimal"/>
      <w:suff w:val="nothing"/>
      <w:lvlText w:val="%1、"/>
      <w:lvlJc w:val="left"/>
    </w:lvl>
  </w:abstractNum>
  <w:abstractNum w:abstractNumId="4">
    <w:nsid w:val="BDCBBE2F"/>
    <w:multiLevelType w:val="singleLevel"/>
    <w:tmpl w:val="BDCBBE2F"/>
    <w:lvl w:ilvl="0" w:tentative="0">
      <w:start w:val="1"/>
      <w:numFmt w:val="decimal"/>
      <w:suff w:val="nothing"/>
      <w:lvlText w:val="%1、"/>
      <w:lvlJc w:val="left"/>
    </w:lvl>
  </w:abstractNum>
  <w:abstractNum w:abstractNumId="5">
    <w:nsid w:val="D2AB0481"/>
    <w:multiLevelType w:val="singleLevel"/>
    <w:tmpl w:val="D2AB0481"/>
    <w:lvl w:ilvl="0" w:tentative="0">
      <w:start w:val="1"/>
      <w:numFmt w:val="decimal"/>
      <w:suff w:val="nothing"/>
      <w:lvlText w:val="%1、"/>
      <w:lvlJc w:val="left"/>
    </w:lvl>
  </w:abstractNum>
  <w:abstractNum w:abstractNumId="6">
    <w:nsid w:val="EC42F0C5"/>
    <w:multiLevelType w:val="singleLevel"/>
    <w:tmpl w:val="EC42F0C5"/>
    <w:lvl w:ilvl="0" w:tentative="0">
      <w:start w:val="1"/>
      <w:numFmt w:val="decimal"/>
      <w:suff w:val="nothing"/>
      <w:lvlText w:val="%1、"/>
      <w:lvlJc w:val="left"/>
    </w:lvl>
  </w:abstractNum>
  <w:abstractNum w:abstractNumId="7">
    <w:nsid w:val="EE6317D3"/>
    <w:multiLevelType w:val="singleLevel"/>
    <w:tmpl w:val="EE6317D3"/>
    <w:lvl w:ilvl="0" w:tentative="0">
      <w:start w:val="1"/>
      <w:numFmt w:val="decimal"/>
      <w:suff w:val="nothing"/>
      <w:lvlText w:val="%1、"/>
      <w:lvlJc w:val="left"/>
    </w:lvl>
  </w:abstractNum>
  <w:abstractNum w:abstractNumId="8">
    <w:nsid w:val="EF89F9F4"/>
    <w:multiLevelType w:val="singleLevel"/>
    <w:tmpl w:val="EF89F9F4"/>
    <w:lvl w:ilvl="0" w:tentative="0">
      <w:start w:val="1"/>
      <w:numFmt w:val="decimal"/>
      <w:suff w:val="nothing"/>
      <w:lvlText w:val="%1、"/>
      <w:lvlJc w:val="left"/>
    </w:lvl>
  </w:abstractNum>
  <w:abstractNum w:abstractNumId="9">
    <w:nsid w:val="04916307"/>
    <w:multiLevelType w:val="singleLevel"/>
    <w:tmpl w:val="04916307"/>
    <w:lvl w:ilvl="0" w:tentative="0">
      <w:start w:val="1"/>
      <w:numFmt w:val="decimal"/>
      <w:suff w:val="nothing"/>
      <w:lvlText w:val="%1、"/>
      <w:lvlJc w:val="left"/>
    </w:lvl>
  </w:abstractNum>
  <w:abstractNum w:abstractNumId="10">
    <w:nsid w:val="04A774E3"/>
    <w:multiLevelType w:val="singleLevel"/>
    <w:tmpl w:val="04A774E3"/>
    <w:lvl w:ilvl="0" w:tentative="0">
      <w:start w:val="1"/>
      <w:numFmt w:val="decimal"/>
      <w:suff w:val="nothing"/>
      <w:lvlText w:val="%1、"/>
      <w:lvlJc w:val="left"/>
    </w:lvl>
  </w:abstractNum>
  <w:abstractNum w:abstractNumId="11">
    <w:nsid w:val="0C484C6E"/>
    <w:multiLevelType w:val="singleLevel"/>
    <w:tmpl w:val="0C484C6E"/>
    <w:lvl w:ilvl="0" w:tentative="0">
      <w:start w:val="1"/>
      <w:numFmt w:val="decimal"/>
      <w:suff w:val="nothing"/>
      <w:lvlText w:val="%1、"/>
      <w:lvlJc w:val="left"/>
    </w:lvl>
  </w:abstractNum>
  <w:abstractNum w:abstractNumId="12">
    <w:nsid w:val="176B450F"/>
    <w:multiLevelType w:val="singleLevel"/>
    <w:tmpl w:val="176B450F"/>
    <w:lvl w:ilvl="0" w:tentative="0">
      <w:start w:val="1"/>
      <w:numFmt w:val="decimal"/>
      <w:suff w:val="nothing"/>
      <w:lvlText w:val="%1、"/>
      <w:lvlJc w:val="left"/>
    </w:lvl>
  </w:abstractNum>
  <w:abstractNum w:abstractNumId="13">
    <w:nsid w:val="3B3E9E98"/>
    <w:multiLevelType w:val="singleLevel"/>
    <w:tmpl w:val="3B3E9E98"/>
    <w:lvl w:ilvl="0" w:tentative="0">
      <w:start w:val="1"/>
      <w:numFmt w:val="decimal"/>
      <w:suff w:val="nothing"/>
      <w:lvlText w:val="%1、"/>
      <w:lvlJc w:val="left"/>
    </w:lvl>
  </w:abstractNum>
  <w:abstractNum w:abstractNumId="14">
    <w:nsid w:val="4385D049"/>
    <w:multiLevelType w:val="singleLevel"/>
    <w:tmpl w:val="4385D049"/>
    <w:lvl w:ilvl="0" w:tentative="0">
      <w:start w:val="1"/>
      <w:numFmt w:val="decimal"/>
      <w:suff w:val="nothing"/>
      <w:lvlText w:val="%1、"/>
      <w:lvlJc w:val="left"/>
    </w:lvl>
  </w:abstractNum>
  <w:abstractNum w:abstractNumId="15">
    <w:nsid w:val="454520A8"/>
    <w:multiLevelType w:val="singleLevel"/>
    <w:tmpl w:val="454520A8"/>
    <w:lvl w:ilvl="0" w:tentative="0">
      <w:start w:val="1"/>
      <w:numFmt w:val="decimal"/>
      <w:suff w:val="nothing"/>
      <w:lvlText w:val="%1、"/>
      <w:lvlJc w:val="left"/>
    </w:lvl>
  </w:abstractNum>
  <w:abstractNum w:abstractNumId="16">
    <w:nsid w:val="482E0F54"/>
    <w:multiLevelType w:val="singleLevel"/>
    <w:tmpl w:val="482E0F54"/>
    <w:lvl w:ilvl="0" w:tentative="0">
      <w:start w:val="1"/>
      <w:numFmt w:val="decimal"/>
      <w:suff w:val="nothing"/>
      <w:lvlText w:val="%1、"/>
      <w:lvlJc w:val="left"/>
    </w:lvl>
  </w:abstractNum>
  <w:abstractNum w:abstractNumId="17">
    <w:nsid w:val="4986B75D"/>
    <w:multiLevelType w:val="singleLevel"/>
    <w:tmpl w:val="4986B75D"/>
    <w:lvl w:ilvl="0" w:tentative="0">
      <w:start w:val="1"/>
      <w:numFmt w:val="decimal"/>
      <w:suff w:val="nothing"/>
      <w:lvlText w:val="%1、"/>
      <w:lvlJc w:val="left"/>
    </w:lvl>
  </w:abstractNum>
  <w:abstractNum w:abstractNumId="18">
    <w:nsid w:val="5F9BB987"/>
    <w:multiLevelType w:val="singleLevel"/>
    <w:tmpl w:val="5F9BB987"/>
    <w:lvl w:ilvl="0" w:tentative="0">
      <w:start w:val="1"/>
      <w:numFmt w:val="decimal"/>
      <w:suff w:val="nothing"/>
      <w:lvlText w:val="%1、"/>
      <w:lvlJc w:val="left"/>
    </w:lvl>
  </w:abstractNum>
  <w:abstractNum w:abstractNumId="19">
    <w:nsid w:val="73DB6920"/>
    <w:multiLevelType w:val="singleLevel"/>
    <w:tmpl w:val="73DB6920"/>
    <w:lvl w:ilvl="0" w:tentative="0">
      <w:start w:val="1"/>
      <w:numFmt w:val="decimal"/>
      <w:suff w:val="nothing"/>
      <w:lvlText w:val="%1、"/>
      <w:lvlJc w:val="left"/>
    </w:lvl>
  </w:abstractNum>
  <w:num w:numId="1">
    <w:abstractNumId w:val="11"/>
  </w:num>
  <w:num w:numId="2">
    <w:abstractNumId w:val="19"/>
  </w:num>
  <w:num w:numId="3">
    <w:abstractNumId w:val="8"/>
  </w:num>
  <w:num w:numId="4">
    <w:abstractNumId w:val="14"/>
  </w:num>
  <w:num w:numId="5">
    <w:abstractNumId w:val="15"/>
  </w:num>
  <w:num w:numId="6">
    <w:abstractNumId w:val="1"/>
  </w:num>
  <w:num w:numId="7">
    <w:abstractNumId w:val="0"/>
  </w:num>
  <w:num w:numId="8">
    <w:abstractNumId w:val="2"/>
  </w:num>
  <w:num w:numId="9">
    <w:abstractNumId w:val="13"/>
  </w:num>
  <w:num w:numId="10">
    <w:abstractNumId w:val="7"/>
  </w:num>
  <w:num w:numId="11">
    <w:abstractNumId w:val="12"/>
  </w:num>
  <w:num w:numId="12">
    <w:abstractNumId w:val="17"/>
  </w:num>
  <w:num w:numId="13">
    <w:abstractNumId w:val="6"/>
  </w:num>
  <w:num w:numId="14">
    <w:abstractNumId w:val="4"/>
  </w:num>
  <w:num w:numId="15">
    <w:abstractNumId w:val="3"/>
  </w:num>
  <w:num w:numId="16">
    <w:abstractNumId w:val="9"/>
  </w:num>
  <w:num w:numId="17">
    <w:abstractNumId w:val="5"/>
  </w:num>
  <w:num w:numId="18">
    <w:abstractNumId w:val="18"/>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CA9"/>
    <w:rsid w:val="00172A27"/>
    <w:rsid w:val="00192EB8"/>
    <w:rsid w:val="00253E3E"/>
    <w:rsid w:val="0028031E"/>
    <w:rsid w:val="00362DC2"/>
    <w:rsid w:val="003B70DC"/>
    <w:rsid w:val="003B7313"/>
    <w:rsid w:val="003D6B49"/>
    <w:rsid w:val="0042662F"/>
    <w:rsid w:val="004E3609"/>
    <w:rsid w:val="00537C28"/>
    <w:rsid w:val="005F7545"/>
    <w:rsid w:val="00600F0A"/>
    <w:rsid w:val="00661ABD"/>
    <w:rsid w:val="007C0B6A"/>
    <w:rsid w:val="008D27C1"/>
    <w:rsid w:val="009820A1"/>
    <w:rsid w:val="00A3470B"/>
    <w:rsid w:val="00B34CC0"/>
    <w:rsid w:val="00C57DB1"/>
    <w:rsid w:val="00C84AD0"/>
    <w:rsid w:val="00E41A2F"/>
    <w:rsid w:val="00E65830"/>
    <w:rsid w:val="011A03D8"/>
    <w:rsid w:val="013B7C70"/>
    <w:rsid w:val="01475CAE"/>
    <w:rsid w:val="0168043A"/>
    <w:rsid w:val="01695955"/>
    <w:rsid w:val="017367E4"/>
    <w:rsid w:val="017B734C"/>
    <w:rsid w:val="01DA19A7"/>
    <w:rsid w:val="024403E9"/>
    <w:rsid w:val="02C57303"/>
    <w:rsid w:val="02CC24B8"/>
    <w:rsid w:val="02FB020C"/>
    <w:rsid w:val="03224100"/>
    <w:rsid w:val="0370464D"/>
    <w:rsid w:val="03C8106B"/>
    <w:rsid w:val="03F1578E"/>
    <w:rsid w:val="0466617C"/>
    <w:rsid w:val="048B7030"/>
    <w:rsid w:val="04A03396"/>
    <w:rsid w:val="04C07C68"/>
    <w:rsid w:val="05040214"/>
    <w:rsid w:val="058434AC"/>
    <w:rsid w:val="05850883"/>
    <w:rsid w:val="058B3726"/>
    <w:rsid w:val="05DE3310"/>
    <w:rsid w:val="06120C1A"/>
    <w:rsid w:val="0662770E"/>
    <w:rsid w:val="06D823A8"/>
    <w:rsid w:val="07213EFB"/>
    <w:rsid w:val="07861722"/>
    <w:rsid w:val="07BE1E2B"/>
    <w:rsid w:val="07EB0A83"/>
    <w:rsid w:val="07EE339F"/>
    <w:rsid w:val="082A16AE"/>
    <w:rsid w:val="08447A0E"/>
    <w:rsid w:val="087273EA"/>
    <w:rsid w:val="08C175A4"/>
    <w:rsid w:val="09371AF3"/>
    <w:rsid w:val="09824989"/>
    <w:rsid w:val="09901D1C"/>
    <w:rsid w:val="09C0577C"/>
    <w:rsid w:val="0A0E56E3"/>
    <w:rsid w:val="0AB46BD0"/>
    <w:rsid w:val="0AC7549A"/>
    <w:rsid w:val="0B00275A"/>
    <w:rsid w:val="0B99753D"/>
    <w:rsid w:val="0BFA364D"/>
    <w:rsid w:val="0C3A18BD"/>
    <w:rsid w:val="0C3E5484"/>
    <w:rsid w:val="0CCC36E6"/>
    <w:rsid w:val="0D385270"/>
    <w:rsid w:val="0D6C6CE4"/>
    <w:rsid w:val="0D710CA8"/>
    <w:rsid w:val="0DC716D5"/>
    <w:rsid w:val="0DE16873"/>
    <w:rsid w:val="0DE50029"/>
    <w:rsid w:val="0E266237"/>
    <w:rsid w:val="0E51617F"/>
    <w:rsid w:val="0E560BC0"/>
    <w:rsid w:val="0E77198B"/>
    <w:rsid w:val="0EA224A6"/>
    <w:rsid w:val="0EB05EA2"/>
    <w:rsid w:val="0EC107E0"/>
    <w:rsid w:val="0F7B6693"/>
    <w:rsid w:val="0F8F183D"/>
    <w:rsid w:val="0FFA1E6E"/>
    <w:rsid w:val="1057106E"/>
    <w:rsid w:val="10E557E0"/>
    <w:rsid w:val="11116F7D"/>
    <w:rsid w:val="11194576"/>
    <w:rsid w:val="11205904"/>
    <w:rsid w:val="11473D3D"/>
    <w:rsid w:val="11685F3B"/>
    <w:rsid w:val="12703A49"/>
    <w:rsid w:val="128B3F9B"/>
    <w:rsid w:val="128D6FC9"/>
    <w:rsid w:val="13E5140C"/>
    <w:rsid w:val="14161A7F"/>
    <w:rsid w:val="145D4214"/>
    <w:rsid w:val="14C74BDD"/>
    <w:rsid w:val="14F01806"/>
    <w:rsid w:val="1518015B"/>
    <w:rsid w:val="1526278C"/>
    <w:rsid w:val="15D47972"/>
    <w:rsid w:val="15DC61CF"/>
    <w:rsid w:val="160F5D26"/>
    <w:rsid w:val="1647488D"/>
    <w:rsid w:val="165247B2"/>
    <w:rsid w:val="16697137"/>
    <w:rsid w:val="16C02C4D"/>
    <w:rsid w:val="16EC5DBA"/>
    <w:rsid w:val="173176A2"/>
    <w:rsid w:val="17585C53"/>
    <w:rsid w:val="1759391E"/>
    <w:rsid w:val="17BE7C0F"/>
    <w:rsid w:val="185C2DD9"/>
    <w:rsid w:val="18A115EB"/>
    <w:rsid w:val="18A44A25"/>
    <w:rsid w:val="18AE4DBC"/>
    <w:rsid w:val="18D40CFF"/>
    <w:rsid w:val="18F02060"/>
    <w:rsid w:val="18FC7C4A"/>
    <w:rsid w:val="19043386"/>
    <w:rsid w:val="19650164"/>
    <w:rsid w:val="196A0D49"/>
    <w:rsid w:val="196D2DEB"/>
    <w:rsid w:val="19792195"/>
    <w:rsid w:val="199440AA"/>
    <w:rsid w:val="19B8441B"/>
    <w:rsid w:val="19CD77D4"/>
    <w:rsid w:val="1A093C72"/>
    <w:rsid w:val="1A7B177B"/>
    <w:rsid w:val="1AC04CC2"/>
    <w:rsid w:val="1ACC7ADD"/>
    <w:rsid w:val="1AE55A16"/>
    <w:rsid w:val="1B0C23A3"/>
    <w:rsid w:val="1B1010E6"/>
    <w:rsid w:val="1B703E7C"/>
    <w:rsid w:val="1C0025B3"/>
    <w:rsid w:val="1C2B0091"/>
    <w:rsid w:val="1C424981"/>
    <w:rsid w:val="1C98348B"/>
    <w:rsid w:val="1CA93975"/>
    <w:rsid w:val="1CC21F65"/>
    <w:rsid w:val="1D4D2B15"/>
    <w:rsid w:val="1D937DFC"/>
    <w:rsid w:val="1DA97937"/>
    <w:rsid w:val="1DC13FCB"/>
    <w:rsid w:val="1DFC50D0"/>
    <w:rsid w:val="1E380FAD"/>
    <w:rsid w:val="1E467FEF"/>
    <w:rsid w:val="1EBA2872"/>
    <w:rsid w:val="1EC32895"/>
    <w:rsid w:val="1ED04367"/>
    <w:rsid w:val="1EE95C40"/>
    <w:rsid w:val="1F0C1029"/>
    <w:rsid w:val="1FC05AFE"/>
    <w:rsid w:val="1FCB6D86"/>
    <w:rsid w:val="1FD21446"/>
    <w:rsid w:val="1FD71884"/>
    <w:rsid w:val="1FFA522B"/>
    <w:rsid w:val="20654869"/>
    <w:rsid w:val="20851877"/>
    <w:rsid w:val="208D714B"/>
    <w:rsid w:val="20987597"/>
    <w:rsid w:val="20A44520"/>
    <w:rsid w:val="20C07F4F"/>
    <w:rsid w:val="20E26255"/>
    <w:rsid w:val="20E7163F"/>
    <w:rsid w:val="20FA7C6D"/>
    <w:rsid w:val="210B67C1"/>
    <w:rsid w:val="21420F31"/>
    <w:rsid w:val="21517C77"/>
    <w:rsid w:val="217E1DB6"/>
    <w:rsid w:val="22032E04"/>
    <w:rsid w:val="22590C76"/>
    <w:rsid w:val="225E5CE9"/>
    <w:rsid w:val="238E34C9"/>
    <w:rsid w:val="24156016"/>
    <w:rsid w:val="242A0900"/>
    <w:rsid w:val="2466565D"/>
    <w:rsid w:val="24857163"/>
    <w:rsid w:val="24967F5F"/>
    <w:rsid w:val="24B369D8"/>
    <w:rsid w:val="24E44142"/>
    <w:rsid w:val="25631964"/>
    <w:rsid w:val="257F27A2"/>
    <w:rsid w:val="25AF576B"/>
    <w:rsid w:val="269D108A"/>
    <w:rsid w:val="26A95D72"/>
    <w:rsid w:val="26DB434F"/>
    <w:rsid w:val="26EB6702"/>
    <w:rsid w:val="274A6DA0"/>
    <w:rsid w:val="275837E4"/>
    <w:rsid w:val="277E1035"/>
    <w:rsid w:val="279E34D6"/>
    <w:rsid w:val="279F383F"/>
    <w:rsid w:val="27BA7039"/>
    <w:rsid w:val="27EA5CB9"/>
    <w:rsid w:val="28634FED"/>
    <w:rsid w:val="28C3687A"/>
    <w:rsid w:val="29DC5D76"/>
    <w:rsid w:val="2A500BDB"/>
    <w:rsid w:val="2AB2554E"/>
    <w:rsid w:val="2B1E4E70"/>
    <w:rsid w:val="2B5D2904"/>
    <w:rsid w:val="2BDA1BF3"/>
    <w:rsid w:val="2BEB7F34"/>
    <w:rsid w:val="2C492A21"/>
    <w:rsid w:val="2C646B95"/>
    <w:rsid w:val="2CD73C2A"/>
    <w:rsid w:val="2D0B2859"/>
    <w:rsid w:val="2D253E88"/>
    <w:rsid w:val="2D442D8C"/>
    <w:rsid w:val="2DE636C0"/>
    <w:rsid w:val="2E6A52C5"/>
    <w:rsid w:val="2E7F1A64"/>
    <w:rsid w:val="2E9525D9"/>
    <w:rsid w:val="2F374793"/>
    <w:rsid w:val="2F865279"/>
    <w:rsid w:val="2F94640E"/>
    <w:rsid w:val="2F9D5E5F"/>
    <w:rsid w:val="2FA911E0"/>
    <w:rsid w:val="2FDE63E7"/>
    <w:rsid w:val="2FFB4037"/>
    <w:rsid w:val="300F7EC6"/>
    <w:rsid w:val="304C3BC8"/>
    <w:rsid w:val="30D61492"/>
    <w:rsid w:val="3111779A"/>
    <w:rsid w:val="31A71C45"/>
    <w:rsid w:val="31FC5710"/>
    <w:rsid w:val="324547BC"/>
    <w:rsid w:val="326B106F"/>
    <w:rsid w:val="32812B54"/>
    <w:rsid w:val="33443270"/>
    <w:rsid w:val="334C1B38"/>
    <w:rsid w:val="33A361F5"/>
    <w:rsid w:val="33AA2AD4"/>
    <w:rsid w:val="33B0471D"/>
    <w:rsid w:val="33D34994"/>
    <w:rsid w:val="33F10FB3"/>
    <w:rsid w:val="340A0022"/>
    <w:rsid w:val="34565B6C"/>
    <w:rsid w:val="345853E5"/>
    <w:rsid w:val="34BD0ECB"/>
    <w:rsid w:val="34DB6D22"/>
    <w:rsid w:val="34DF74E2"/>
    <w:rsid w:val="34E22C97"/>
    <w:rsid w:val="350177DE"/>
    <w:rsid w:val="351A186F"/>
    <w:rsid w:val="353E2B57"/>
    <w:rsid w:val="355F0CFA"/>
    <w:rsid w:val="35610ED0"/>
    <w:rsid w:val="3575771D"/>
    <w:rsid w:val="35AD343F"/>
    <w:rsid w:val="35CA124A"/>
    <w:rsid w:val="35CE3EA6"/>
    <w:rsid w:val="35D00DF7"/>
    <w:rsid w:val="36317AE8"/>
    <w:rsid w:val="365A2C4D"/>
    <w:rsid w:val="37060BCA"/>
    <w:rsid w:val="37191D1E"/>
    <w:rsid w:val="377729E8"/>
    <w:rsid w:val="37895702"/>
    <w:rsid w:val="37F83DB8"/>
    <w:rsid w:val="3834566E"/>
    <w:rsid w:val="38593326"/>
    <w:rsid w:val="38713123"/>
    <w:rsid w:val="39BC3B2C"/>
    <w:rsid w:val="39E45B1C"/>
    <w:rsid w:val="39EF5A92"/>
    <w:rsid w:val="3A16642C"/>
    <w:rsid w:val="3A2F51CB"/>
    <w:rsid w:val="3A63048C"/>
    <w:rsid w:val="3AA27206"/>
    <w:rsid w:val="3B1F2605"/>
    <w:rsid w:val="3B3B72E9"/>
    <w:rsid w:val="3C082888"/>
    <w:rsid w:val="3C123F18"/>
    <w:rsid w:val="3C485B8B"/>
    <w:rsid w:val="3C884BA3"/>
    <w:rsid w:val="3C9452AE"/>
    <w:rsid w:val="3C9568F7"/>
    <w:rsid w:val="3C97441D"/>
    <w:rsid w:val="3CB3276D"/>
    <w:rsid w:val="3CC6255E"/>
    <w:rsid w:val="3CCE722A"/>
    <w:rsid w:val="3CE03B69"/>
    <w:rsid w:val="3D0329CE"/>
    <w:rsid w:val="3D2A0B2F"/>
    <w:rsid w:val="3D6D1232"/>
    <w:rsid w:val="3DD35B94"/>
    <w:rsid w:val="3DFA4630"/>
    <w:rsid w:val="3E706473"/>
    <w:rsid w:val="3EE022E0"/>
    <w:rsid w:val="3EF05F7F"/>
    <w:rsid w:val="3F116272"/>
    <w:rsid w:val="3F5E7474"/>
    <w:rsid w:val="3F6565E9"/>
    <w:rsid w:val="3FC217B1"/>
    <w:rsid w:val="3FC91CA6"/>
    <w:rsid w:val="40011882"/>
    <w:rsid w:val="40011A6E"/>
    <w:rsid w:val="402E68CB"/>
    <w:rsid w:val="406B1E48"/>
    <w:rsid w:val="40B41A41"/>
    <w:rsid w:val="412503E4"/>
    <w:rsid w:val="41355895"/>
    <w:rsid w:val="41C673BE"/>
    <w:rsid w:val="41F474A6"/>
    <w:rsid w:val="42413DDA"/>
    <w:rsid w:val="42466C75"/>
    <w:rsid w:val="42745BAB"/>
    <w:rsid w:val="42B35DAE"/>
    <w:rsid w:val="42C90D5E"/>
    <w:rsid w:val="42DE7D21"/>
    <w:rsid w:val="42FB72DA"/>
    <w:rsid w:val="431E2853"/>
    <w:rsid w:val="435E20EE"/>
    <w:rsid w:val="438E1B4D"/>
    <w:rsid w:val="43A92708"/>
    <w:rsid w:val="4414407E"/>
    <w:rsid w:val="4425454C"/>
    <w:rsid w:val="445604D2"/>
    <w:rsid w:val="447171BD"/>
    <w:rsid w:val="44BD6258"/>
    <w:rsid w:val="44D77AAC"/>
    <w:rsid w:val="452A17DC"/>
    <w:rsid w:val="45657190"/>
    <w:rsid w:val="45992FB4"/>
    <w:rsid w:val="45BE6F5A"/>
    <w:rsid w:val="45F06FF4"/>
    <w:rsid w:val="461D3BE5"/>
    <w:rsid w:val="4632615D"/>
    <w:rsid w:val="46414238"/>
    <w:rsid w:val="46506E2D"/>
    <w:rsid w:val="46662B86"/>
    <w:rsid w:val="466E3F57"/>
    <w:rsid w:val="46EB6B5C"/>
    <w:rsid w:val="470D3C59"/>
    <w:rsid w:val="479559FD"/>
    <w:rsid w:val="479865AE"/>
    <w:rsid w:val="47A3011A"/>
    <w:rsid w:val="47B56E33"/>
    <w:rsid w:val="47D135D1"/>
    <w:rsid w:val="47DD2D01"/>
    <w:rsid w:val="47F93D6D"/>
    <w:rsid w:val="47FE076B"/>
    <w:rsid w:val="480046B2"/>
    <w:rsid w:val="48402D04"/>
    <w:rsid w:val="484C43B1"/>
    <w:rsid w:val="487D4D53"/>
    <w:rsid w:val="48815345"/>
    <w:rsid w:val="48872F95"/>
    <w:rsid w:val="499C3E7E"/>
    <w:rsid w:val="49CC59B1"/>
    <w:rsid w:val="49D57801"/>
    <w:rsid w:val="4A5542DE"/>
    <w:rsid w:val="4A770CB6"/>
    <w:rsid w:val="4AE975FB"/>
    <w:rsid w:val="4B6F0C7B"/>
    <w:rsid w:val="4BCB4B73"/>
    <w:rsid w:val="4BE36042"/>
    <w:rsid w:val="4C267F71"/>
    <w:rsid w:val="4C2712D1"/>
    <w:rsid w:val="4C4E524F"/>
    <w:rsid w:val="4C734A8A"/>
    <w:rsid w:val="4C851BCF"/>
    <w:rsid w:val="4D0C03F4"/>
    <w:rsid w:val="4D1C2F52"/>
    <w:rsid w:val="4D7762D0"/>
    <w:rsid w:val="4DE82F43"/>
    <w:rsid w:val="4E00754C"/>
    <w:rsid w:val="4E1C5914"/>
    <w:rsid w:val="4E230300"/>
    <w:rsid w:val="4E2428AC"/>
    <w:rsid w:val="4E3F66C2"/>
    <w:rsid w:val="4E410805"/>
    <w:rsid w:val="4E43555A"/>
    <w:rsid w:val="4E4B5067"/>
    <w:rsid w:val="4E5624F5"/>
    <w:rsid w:val="4F251E2C"/>
    <w:rsid w:val="4FB055CE"/>
    <w:rsid w:val="50315DE4"/>
    <w:rsid w:val="50323F86"/>
    <w:rsid w:val="50326DBF"/>
    <w:rsid w:val="5038603A"/>
    <w:rsid w:val="506171FE"/>
    <w:rsid w:val="5064009F"/>
    <w:rsid w:val="506E3CF0"/>
    <w:rsid w:val="5074664F"/>
    <w:rsid w:val="50F85A7B"/>
    <w:rsid w:val="51387B25"/>
    <w:rsid w:val="51541F5C"/>
    <w:rsid w:val="516444DE"/>
    <w:rsid w:val="51853BC4"/>
    <w:rsid w:val="51E40B4F"/>
    <w:rsid w:val="52034E9D"/>
    <w:rsid w:val="52586688"/>
    <w:rsid w:val="52956520"/>
    <w:rsid w:val="52B23D3C"/>
    <w:rsid w:val="532A5B93"/>
    <w:rsid w:val="53BC2B58"/>
    <w:rsid w:val="53E126F6"/>
    <w:rsid w:val="53FF02AD"/>
    <w:rsid w:val="546B03F1"/>
    <w:rsid w:val="546D3F95"/>
    <w:rsid w:val="54CC6949"/>
    <w:rsid w:val="551E7151"/>
    <w:rsid w:val="558C585F"/>
    <w:rsid w:val="55BD684B"/>
    <w:rsid w:val="55D36B45"/>
    <w:rsid w:val="562B26A1"/>
    <w:rsid w:val="56447C1F"/>
    <w:rsid w:val="567A38C5"/>
    <w:rsid w:val="56AF0561"/>
    <w:rsid w:val="56DA167E"/>
    <w:rsid w:val="57432983"/>
    <w:rsid w:val="5754646C"/>
    <w:rsid w:val="57987E9A"/>
    <w:rsid w:val="57DE0A71"/>
    <w:rsid w:val="57E54475"/>
    <w:rsid w:val="58510C48"/>
    <w:rsid w:val="58794EE2"/>
    <w:rsid w:val="5886386C"/>
    <w:rsid w:val="58D723CB"/>
    <w:rsid w:val="58E166D1"/>
    <w:rsid w:val="592E0E87"/>
    <w:rsid w:val="59344A07"/>
    <w:rsid w:val="593E670F"/>
    <w:rsid w:val="595C2EB2"/>
    <w:rsid w:val="5986233E"/>
    <w:rsid w:val="5A8265CE"/>
    <w:rsid w:val="5ACE057E"/>
    <w:rsid w:val="5ADA2443"/>
    <w:rsid w:val="5ADA613B"/>
    <w:rsid w:val="5AEB25B5"/>
    <w:rsid w:val="5B0016E1"/>
    <w:rsid w:val="5B371E70"/>
    <w:rsid w:val="5B4036FD"/>
    <w:rsid w:val="5B7C74C3"/>
    <w:rsid w:val="5B925A80"/>
    <w:rsid w:val="5BEA5EBF"/>
    <w:rsid w:val="5BFA0CAD"/>
    <w:rsid w:val="5C0E2061"/>
    <w:rsid w:val="5C2270C4"/>
    <w:rsid w:val="5C282F36"/>
    <w:rsid w:val="5C6F0497"/>
    <w:rsid w:val="5C7560D1"/>
    <w:rsid w:val="5CA526A1"/>
    <w:rsid w:val="5D2505AC"/>
    <w:rsid w:val="5D5F1661"/>
    <w:rsid w:val="5D69545A"/>
    <w:rsid w:val="5D6A1611"/>
    <w:rsid w:val="5D9C3571"/>
    <w:rsid w:val="5E1E392D"/>
    <w:rsid w:val="5E6D70E3"/>
    <w:rsid w:val="5E784FB0"/>
    <w:rsid w:val="5ED81050"/>
    <w:rsid w:val="5FD03398"/>
    <w:rsid w:val="60011A2A"/>
    <w:rsid w:val="60291DB7"/>
    <w:rsid w:val="60572F8B"/>
    <w:rsid w:val="60C05441"/>
    <w:rsid w:val="60F021CA"/>
    <w:rsid w:val="60F872D1"/>
    <w:rsid w:val="610171DD"/>
    <w:rsid w:val="6120450E"/>
    <w:rsid w:val="61226A03"/>
    <w:rsid w:val="61AB7676"/>
    <w:rsid w:val="61BE5064"/>
    <w:rsid w:val="61C45E4F"/>
    <w:rsid w:val="623F7E3E"/>
    <w:rsid w:val="62522EE1"/>
    <w:rsid w:val="62BB05B6"/>
    <w:rsid w:val="631A04F7"/>
    <w:rsid w:val="636B3D8A"/>
    <w:rsid w:val="637A3FCD"/>
    <w:rsid w:val="637C256A"/>
    <w:rsid w:val="637D2196"/>
    <w:rsid w:val="639F6A2A"/>
    <w:rsid w:val="6408782B"/>
    <w:rsid w:val="64422EE1"/>
    <w:rsid w:val="644D1021"/>
    <w:rsid w:val="64576241"/>
    <w:rsid w:val="64727615"/>
    <w:rsid w:val="648F1CFA"/>
    <w:rsid w:val="64E23A93"/>
    <w:rsid w:val="651A2AE3"/>
    <w:rsid w:val="652F3CEB"/>
    <w:rsid w:val="65B573CA"/>
    <w:rsid w:val="65BE2E9D"/>
    <w:rsid w:val="66246A08"/>
    <w:rsid w:val="666856D6"/>
    <w:rsid w:val="66E001B8"/>
    <w:rsid w:val="672F7D69"/>
    <w:rsid w:val="67475966"/>
    <w:rsid w:val="67604F77"/>
    <w:rsid w:val="677C6EDB"/>
    <w:rsid w:val="67935572"/>
    <w:rsid w:val="67967BD0"/>
    <w:rsid w:val="67EB44BA"/>
    <w:rsid w:val="68723B13"/>
    <w:rsid w:val="68AD585E"/>
    <w:rsid w:val="68CD7C4C"/>
    <w:rsid w:val="69084AD7"/>
    <w:rsid w:val="690A5DF3"/>
    <w:rsid w:val="69135002"/>
    <w:rsid w:val="695F28AE"/>
    <w:rsid w:val="69AC0385"/>
    <w:rsid w:val="69D577D0"/>
    <w:rsid w:val="6A1C5D12"/>
    <w:rsid w:val="6A532599"/>
    <w:rsid w:val="6A592CCA"/>
    <w:rsid w:val="6A5E1126"/>
    <w:rsid w:val="6A90057A"/>
    <w:rsid w:val="6ABC1ADC"/>
    <w:rsid w:val="6B334EEE"/>
    <w:rsid w:val="6C45638A"/>
    <w:rsid w:val="6C4834F8"/>
    <w:rsid w:val="6CE4695B"/>
    <w:rsid w:val="6CFA7F2C"/>
    <w:rsid w:val="6D4F0CE6"/>
    <w:rsid w:val="6DBA469A"/>
    <w:rsid w:val="6DC53CAC"/>
    <w:rsid w:val="6E0744FB"/>
    <w:rsid w:val="6E174F53"/>
    <w:rsid w:val="6E290AC9"/>
    <w:rsid w:val="6E5268A7"/>
    <w:rsid w:val="6E9E52DB"/>
    <w:rsid w:val="6EA710D8"/>
    <w:rsid w:val="6EB755A3"/>
    <w:rsid w:val="6EDE27E1"/>
    <w:rsid w:val="6F244684"/>
    <w:rsid w:val="6F4140D0"/>
    <w:rsid w:val="6F6D08D4"/>
    <w:rsid w:val="6F847835"/>
    <w:rsid w:val="6F8C1333"/>
    <w:rsid w:val="6FA87193"/>
    <w:rsid w:val="6FB75646"/>
    <w:rsid w:val="6FDA3129"/>
    <w:rsid w:val="70572C68"/>
    <w:rsid w:val="70B46B45"/>
    <w:rsid w:val="70C07E0F"/>
    <w:rsid w:val="70F437C7"/>
    <w:rsid w:val="714166DA"/>
    <w:rsid w:val="716D37B0"/>
    <w:rsid w:val="721E4B7B"/>
    <w:rsid w:val="727B6147"/>
    <w:rsid w:val="72C9287B"/>
    <w:rsid w:val="72EE0533"/>
    <w:rsid w:val="73284E4B"/>
    <w:rsid w:val="732C5BA4"/>
    <w:rsid w:val="738D02C1"/>
    <w:rsid w:val="7398695F"/>
    <w:rsid w:val="73A173D5"/>
    <w:rsid w:val="73E23EF5"/>
    <w:rsid w:val="74463A57"/>
    <w:rsid w:val="75242D61"/>
    <w:rsid w:val="75556D80"/>
    <w:rsid w:val="75612B59"/>
    <w:rsid w:val="756443AE"/>
    <w:rsid w:val="7592164A"/>
    <w:rsid w:val="76806011"/>
    <w:rsid w:val="769235AF"/>
    <w:rsid w:val="76D7601E"/>
    <w:rsid w:val="76F41595"/>
    <w:rsid w:val="772C2EE2"/>
    <w:rsid w:val="773B33FA"/>
    <w:rsid w:val="774A09D1"/>
    <w:rsid w:val="77716675"/>
    <w:rsid w:val="779D7E32"/>
    <w:rsid w:val="77A7723C"/>
    <w:rsid w:val="77A94CD9"/>
    <w:rsid w:val="77CB0E43"/>
    <w:rsid w:val="77D50E2C"/>
    <w:rsid w:val="77EC23BB"/>
    <w:rsid w:val="7809400C"/>
    <w:rsid w:val="780D3FE6"/>
    <w:rsid w:val="78E57983"/>
    <w:rsid w:val="78EF4B16"/>
    <w:rsid w:val="79205E80"/>
    <w:rsid w:val="79BA03D7"/>
    <w:rsid w:val="79F2582B"/>
    <w:rsid w:val="7A040BB8"/>
    <w:rsid w:val="7A580616"/>
    <w:rsid w:val="7AA01B13"/>
    <w:rsid w:val="7AA51C3F"/>
    <w:rsid w:val="7AA61B93"/>
    <w:rsid w:val="7AAD6F79"/>
    <w:rsid w:val="7AD959D2"/>
    <w:rsid w:val="7AED21E5"/>
    <w:rsid w:val="7B166879"/>
    <w:rsid w:val="7B284E41"/>
    <w:rsid w:val="7B392ABA"/>
    <w:rsid w:val="7B6E1436"/>
    <w:rsid w:val="7B926CDC"/>
    <w:rsid w:val="7BB535E6"/>
    <w:rsid w:val="7BDD1370"/>
    <w:rsid w:val="7BE332F6"/>
    <w:rsid w:val="7BE60446"/>
    <w:rsid w:val="7C003169"/>
    <w:rsid w:val="7C374613"/>
    <w:rsid w:val="7C5335DF"/>
    <w:rsid w:val="7C5F1B5A"/>
    <w:rsid w:val="7CBE4CDE"/>
    <w:rsid w:val="7CEC7123"/>
    <w:rsid w:val="7D3D330B"/>
    <w:rsid w:val="7D4A0118"/>
    <w:rsid w:val="7D847ACA"/>
    <w:rsid w:val="7DA339C2"/>
    <w:rsid w:val="7DC92A5B"/>
    <w:rsid w:val="7DD81EC3"/>
    <w:rsid w:val="7E1C5A5A"/>
    <w:rsid w:val="7E5C2890"/>
    <w:rsid w:val="7E6D70C6"/>
    <w:rsid w:val="7E995F3B"/>
    <w:rsid w:val="7F17192B"/>
    <w:rsid w:val="7F587C0D"/>
    <w:rsid w:val="7F8523A2"/>
    <w:rsid w:val="7FCE14D1"/>
    <w:rsid w:val="7FDB633C"/>
    <w:rsid w:val="7FE1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43"/>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paragraph" w:styleId="6">
    <w:name w:val="heading 5"/>
    <w:basedOn w:val="1"/>
    <w:next w:val="1"/>
    <w:qFormat/>
    <w:uiPriority w:val="9"/>
    <w:pPr>
      <w:keepNext/>
      <w:keepLines/>
      <w:spacing w:before="40" w:after="40" w:line="440" w:lineRule="exact"/>
      <w:jc w:val="center"/>
      <w:outlineLvl w:val="4"/>
    </w:pPr>
    <w:rPr>
      <w:rFonts w:eastAsia="方正黑体_GBK" w:cs="Arial Unicode MS"/>
      <w:bCs/>
      <w:sz w:val="28"/>
      <w:szCs w:val="28"/>
      <w:lang w:bidi="bo-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Cs w:val="32"/>
    </w:rPr>
  </w:style>
  <w:style w:type="paragraph" w:styleId="7">
    <w:name w:val="Body Text"/>
    <w:basedOn w:val="1"/>
    <w:semiHidden/>
    <w:unhideWhenUsed/>
    <w:qFormat/>
    <w:uiPriority w:val="99"/>
    <w:pPr>
      <w:spacing w:after="120" w:line="587" w:lineRule="exact"/>
      <w:ind w:firstLine="200" w:firstLineChars="200"/>
    </w:pPr>
    <w:rPr>
      <w:rFonts w:ascii="Times New Roman" w:hAnsi="Times New Roman" w:eastAsia="方正仿宋_GBK" w:cstheme="minorBidi"/>
      <w:sz w:val="32"/>
    </w:rPr>
  </w:style>
  <w:style w:type="paragraph" w:styleId="8">
    <w:name w:val="Plain Text"/>
    <w:basedOn w:val="1"/>
    <w:qFormat/>
    <w:uiPriority w:val="0"/>
    <w:rPr>
      <w:rFonts w:ascii="宋体" w:hAnsi="Courier New" w:cs="Courier New"/>
      <w:szCs w:val="21"/>
    </w:rPr>
  </w:style>
  <w:style w:type="paragraph" w:styleId="9">
    <w:name w:val="Balloon Text"/>
    <w:basedOn w:val="1"/>
    <w:link w:val="25"/>
    <w:semiHidden/>
    <w:unhideWhenUsed/>
    <w:qFormat/>
    <w:uiPriority w:val="0"/>
    <w:rPr>
      <w:sz w:val="18"/>
      <w:szCs w:val="18"/>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rPr>
      <w:sz w:val="24"/>
    </w:rPr>
  </w:style>
  <w:style w:type="paragraph" w:styleId="15">
    <w:name w:val="Body Text First Indent"/>
    <w:basedOn w:val="7"/>
    <w:qFormat/>
    <w:uiPriority w:val="0"/>
    <w:pPr>
      <w:overflowPunct w:val="0"/>
      <w:topLinePunct/>
      <w:autoSpaceDE w:val="0"/>
      <w:autoSpaceDN w:val="0"/>
      <w:ind w:firstLine="420" w:firstLineChars="100"/>
    </w:pPr>
    <w:rPr>
      <w:rFonts w:ascii="仿宋_GB2312" w:eastAsia="仿宋_GB2312"/>
      <w:kern w:val="0"/>
      <w:sz w:val="30"/>
      <w:szCs w:val="28"/>
    </w:rPr>
  </w:style>
  <w:style w:type="table" w:styleId="17">
    <w:name w:val="Table Grid"/>
    <w:basedOn w:val="1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qFormat/>
    <w:uiPriority w:val="99"/>
    <w:rPr>
      <w:color w:val="0563C1"/>
      <w:u w:val="single"/>
    </w:rPr>
  </w:style>
  <w:style w:type="paragraph" w:styleId="22">
    <w:name w:val="List Paragraph"/>
    <w:basedOn w:val="1"/>
    <w:unhideWhenUsed/>
    <w:qFormat/>
    <w:uiPriority w:val="99"/>
    <w:pPr>
      <w:ind w:firstLine="420" w:firstLineChars="200"/>
    </w:pPr>
  </w:style>
  <w:style w:type="paragraph" w:customStyle="1" w:styleId="23">
    <w:name w:val="段"/>
    <w:basedOn w:val="1"/>
    <w:next w:val="1"/>
    <w:qFormat/>
    <w:uiPriority w:val="0"/>
    <w:pPr>
      <w:adjustRightInd w:val="0"/>
      <w:snapToGrid w:val="0"/>
      <w:spacing w:line="560" w:lineRule="exact"/>
      <w:ind w:firstLine="200" w:firstLineChars="200"/>
    </w:pPr>
    <w:rPr>
      <w:rFonts w:ascii="Times New Roman" w:hAnsi="Times New Roman" w:eastAsia="华文仿宋"/>
      <w:color w:val="000000"/>
      <w:kern w:val="0"/>
      <w:sz w:val="32"/>
      <w:szCs w:val="32"/>
    </w:rPr>
  </w:style>
  <w:style w:type="character" w:customStyle="1" w:styleId="24">
    <w:name w:val="15"/>
    <w:basedOn w:val="18"/>
    <w:qFormat/>
    <w:uiPriority w:val="0"/>
    <w:rPr>
      <w:rFonts w:hint="default" w:ascii="Times New Roman" w:hAnsi="Times New Roman" w:cs="Times New Roman"/>
      <w:b/>
      <w:bCs/>
    </w:rPr>
  </w:style>
  <w:style w:type="character" w:customStyle="1" w:styleId="25">
    <w:name w:val="批注框文本 字符"/>
    <w:basedOn w:val="18"/>
    <w:link w:val="9"/>
    <w:semiHidden/>
    <w:qFormat/>
    <w:uiPriority w:val="0"/>
    <w:rPr>
      <w:rFonts w:ascii="Calibri" w:hAnsi="Calibri" w:cs="宋体"/>
      <w:kern w:val="2"/>
      <w:sz w:val="18"/>
      <w:szCs w:val="18"/>
    </w:rPr>
  </w:style>
  <w:style w:type="character" w:customStyle="1" w:styleId="26">
    <w:name w:val="页眉 字符"/>
    <w:basedOn w:val="18"/>
    <w:link w:val="11"/>
    <w:qFormat/>
    <w:uiPriority w:val="0"/>
    <w:rPr>
      <w:rFonts w:ascii="Calibri" w:hAnsi="Calibri" w:cs="宋体"/>
      <w:kern w:val="2"/>
      <w:sz w:val="18"/>
      <w:szCs w:val="18"/>
    </w:rPr>
  </w:style>
  <w:style w:type="character" w:customStyle="1" w:styleId="27">
    <w:name w:val="font51"/>
    <w:basedOn w:val="18"/>
    <w:qFormat/>
    <w:uiPriority w:val="0"/>
    <w:rPr>
      <w:rFonts w:ascii="方正黑体_GBK" w:hAnsi="方正黑体_GBK" w:eastAsia="方正黑体_GBK" w:cs="方正黑体_GBK"/>
      <w:color w:val="000000"/>
      <w:sz w:val="24"/>
      <w:szCs w:val="24"/>
      <w:u w:val="none"/>
    </w:rPr>
  </w:style>
  <w:style w:type="character" w:customStyle="1" w:styleId="28">
    <w:name w:val="font91"/>
    <w:basedOn w:val="18"/>
    <w:qFormat/>
    <w:uiPriority w:val="0"/>
    <w:rPr>
      <w:rFonts w:hint="eastAsia" w:ascii="宋体" w:hAnsi="宋体" w:eastAsia="宋体" w:cs="宋体"/>
      <w:b/>
      <w:bCs/>
      <w:color w:val="000000"/>
      <w:sz w:val="24"/>
      <w:szCs w:val="24"/>
      <w:u w:val="none"/>
    </w:rPr>
  </w:style>
  <w:style w:type="character" w:customStyle="1" w:styleId="29">
    <w:name w:val="font31"/>
    <w:basedOn w:val="18"/>
    <w:qFormat/>
    <w:uiPriority w:val="0"/>
    <w:rPr>
      <w:rFonts w:hint="default" w:ascii="Times New Roman" w:hAnsi="Times New Roman" w:cs="Times New Roman"/>
      <w:b/>
      <w:bCs/>
      <w:color w:val="000000"/>
      <w:sz w:val="24"/>
      <w:szCs w:val="24"/>
      <w:u w:val="none"/>
    </w:rPr>
  </w:style>
  <w:style w:type="character" w:customStyle="1" w:styleId="30">
    <w:name w:val="font111"/>
    <w:basedOn w:val="18"/>
    <w:qFormat/>
    <w:uiPriority w:val="0"/>
    <w:rPr>
      <w:rFonts w:hint="eastAsia" w:ascii="宋体" w:hAnsi="宋体" w:eastAsia="宋体" w:cs="宋体"/>
      <w:color w:val="000000"/>
      <w:sz w:val="24"/>
      <w:szCs w:val="24"/>
      <w:u w:val="none"/>
    </w:rPr>
  </w:style>
  <w:style w:type="character" w:customStyle="1" w:styleId="31">
    <w:name w:val="font41"/>
    <w:basedOn w:val="18"/>
    <w:qFormat/>
    <w:uiPriority w:val="0"/>
    <w:rPr>
      <w:rFonts w:hint="default" w:ascii="Times New Roman" w:hAnsi="Times New Roman" w:cs="Times New Roman"/>
      <w:color w:val="000000"/>
      <w:sz w:val="24"/>
      <w:szCs w:val="24"/>
      <w:u w:val="none"/>
    </w:rPr>
  </w:style>
  <w:style w:type="character" w:customStyle="1" w:styleId="32">
    <w:name w:val="font71"/>
    <w:basedOn w:val="18"/>
    <w:qFormat/>
    <w:uiPriority w:val="0"/>
    <w:rPr>
      <w:rFonts w:hint="eastAsia" w:ascii="宋体" w:hAnsi="宋体" w:eastAsia="宋体" w:cs="宋体"/>
      <w:color w:val="000000"/>
      <w:sz w:val="24"/>
      <w:szCs w:val="24"/>
      <w:u w:val="none"/>
    </w:rPr>
  </w:style>
  <w:style w:type="character" w:customStyle="1" w:styleId="33">
    <w:name w:val="font01"/>
    <w:basedOn w:val="18"/>
    <w:qFormat/>
    <w:uiPriority w:val="0"/>
    <w:rPr>
      <w:rFonts w:hint="eastAsia" w:ascii="宋体" w:hAnsi="宋体" w:eastAsia="宋体" w:cs="宋体"/>
      <w:color w:val="000000"/>
      <w:sz w:val="24"/>
      <w:szCs w:val="24"/>
      <w:u w:val="none"/>
    </w:rPr>
  </w:style>
  <w:style w:type="character" w:customStyle="1" w:styleId="34">
    <w:name w:val="font12"/>
    <w:basedOn w:val="18"/>
    <w:qFormat/>
    <w:uiPriority w:val="0"/>
    <w:rPr>
      <w:rFonts w:hint="default" w:ascii="Times New Roman" w:hAnsi="Times New Roman" w:cs="Times New Roman"/>
      <w:color w:val="000000"/>
      <w:sz w:val="24"/>
      <w:szCs w:val="24"/>
      <w:u w:val="none"/>
    </w:rPr>
  </w:style>
  <w:style w:type="character" w:customStyle="1" w:styleId="35">
    <w:name w:val="font81"/>
    <w:basedOn w:val="18"/>
    <w:qFormat/>
    <w:uiPriority w:val="0"/>
    <w:rPr>
      <w:rFonts w:hint="default" w:ascii="Times New Roman" w:hAnsi="Times New Roman" w:cs="Times New Roman"/>
      <w:color w:val="000000"/>
      <w:sz w:val="24"/>
      <w:szCs w:val="24"/>
      <w:u w:val="none"/>
    </w:rPr>
  </w:style>
  <w:style w:type="character" w:customStyle="1" w:styleId="36">
    <w:name w:val="font61"/>
    <w:basedOn w:val="18"/>
    <w:qFormat/>
    <w:uiPriority w:val="0"/>
    <w:rPr>
      <w:rFonts w:hint="default" w:ascii="Times New Roman" w:hAnsi="Times New Roman" w:cs="Times New Roman"/>
      <w:color w:val="000000"/>
      <w:sz w:val="24"/>
      <w:szCs w:val="24"/>
      <w:u w:val="none"/>
    </w:rPr>
  </w:style>
  <w:style w:type="character" w:customStyle="1" w:styleId="37">
    <w:name w:val="font122"/>
    <w:basedOn w:val="18"/>
    <w:qFormat/>
    <w:uiPriority w:val="0"/>
    <w:rPr>
      <w:rFonts w:hint="eastAsia" w:ascii="宋体" w:hAnsi="宋体" w:eastAsia="宋体" w:cs="宋体"/>
      <w:color w:val="000000"/>
      <w:sz w:val="22"/>
      <w:szCs w:val="22"/>
      <w:u w:val="none"/>
    </w:rPr>
  </w:style>
  <w:style w:type="character" w:customStyle="1" w:styleId="38">
    <w:name w:val="font112"/>
    <w:basedOn w:val="18"/>
    <w:qFormat/>
    <w:uiPriority w:val="0"/>
    <w:rPr>
      <w:rFonts w:hint="eastAsia" w:ascii="宋体" w:hAnsi="宋体" w:eastAsia="宋体" w:cs="宋体"/>
      <w:color w:val="000000"/>
      <w:sz w:val="24"/>
      <w:szCs w:val="24"/>
      <w:u w:val="none"/>
    </w:rPr>
  </w:style>
  <w:style w:type="character" w:customStyle="1" w:styleId="39">
    <w:name w:val="font11"/>
    <w:basedOn w:val="18"/>
    <w:qFormat/>
    <w:uiPriority w:val="0"/>
    <w:rPr>
      <w:rFonts w:hint="default" w:ascii="Times New Roman" w:hAnsi="Times New Roman" w:cs="Times New Roman"/>
      <w:color w:val="000000"/>
      <w:sz w:val="24"/>
      <w:szCs w:val="24"/>
      <w:u w:val="none"/>
    </w:rPr>
  </w:style>
  <w:style w:type="character" w:customStyle="1" w:styleId="40">
    <w:name w:val="font121"/>
    <w:basedOn w:val="18"/>
    <w:qFormat/>
    <w:uiPriority w:val="0"/>
    <w:rPr>
      <w:rFonts w:hint="eastAsia" w:ascii="宋体" w:hAnsi="宋体" w:eastAsia="宋体" w:cs="宋体"/>
      <w:color w:val="000000"/>
      <w:sz w:val="22"/>
      <w:szCs w:val="22"/>
      <w:u w:val="none"/>
    </w:rPr>
  </w:style>
  <w:style w:type="paragraph" w:customStyle="1" w:styleId="41">
    <w:name w:val="Default"/>
    <w:unhideWhenUsed/>
    <w:qFormat/>
    <w:uiPriority w:val="99"/>
    <w:pPr>
      <w:widowControl w:val="0"/>
      <w:autoSpaceDE w:val="0"/>
      <w:autoSpaceDN w:val="0"/>
      <w:adjustRightInd w:val="0"/>
    </w:pPr>
    <w:rPr>
      <w:rFonts w:hint="eastAsia" w:ascii="仿宋" w:hAnsi="仿宋" w:eastAsia="仿宋" w:cs="Times New Roman"/>
      <w:color w:val="000000"/>
      <w:sz w:val="24"/>
      <w:szCs w:val="24"/>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3">
    <w:name w:val="标题 1 字符"/>
    <w:link w:val="3"/>
    <w:qFormat/>
    <w:uiPriority w:val="0"/>
    <w:rPr>
      <w:rFonts w:hint="eastAsia" w:ascii="宋体" w:hAnsi="宋体" w:eastAsia="宋体" w:cs="宋体"/>
      <w:b/>
      <w:bCs/>
      <w:kern w:val="44"/>
      <w:sz w:val="48"/>
      <w:szCs w:val="48"/>
      <w:lang w:val="en-US" w:eastAsia="zh-CN" w:bidi="ar"/>
    </w:rPr>
  </w:style>
  <w:style w:type="character" w:customStyle="1" w:styleId="44">
    <w:name w:val="样式 标题 2 + (西文) Times New Roman (中文) 楷体_GB2312 四号 Char Char"/>
    <w:link w:val="45"/>
    <w:qFormat/>
    <w:uiPriority w:val="0"/>
    <w:rPr>
      <w:rFonts w:ascii="Arial" w:hAnsi="Arial" w:eastAsia="楷体_GB2312" w:cs="Times New Roman"/>
      <w:bCs/>
      <w:kern w:val="2"/>
      <w:szCs w:val="32"/>
      <w:lang w:bidi="ar-SA"/>
    </w:rPr>
  </w:style>
  <w:style w:type="paragraph" w:customStyle="1" w:styleId="45">
    <w:name w:val="样式 标题 2 + (西文) Times New Roman (中文) 楷体_GB2312 四号"/>
    <w:basedOn w:val="4"/>
    <w:link w:val="44"/>
    <w:qFormat/>
    <w:uiPriority w:val="0"/>
    <w:pPr>
      <w:keepLines/>
      <w:spacing w:before="240" w:after="240" w:line="520" w:lineRule="atLeast"/>
    </w:pPr>
    <w:rPr>
      <w:rFonts w:ascii="Arial" w:hAnsi="Arial" w:eastAsia="楷体_GB2312"/>
      <w:kern w:val="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4001</Words>
  <Characters>22812</Characters>
  <Lines>190</Lines>
  <Paragraphs>53</Paragraphs>
  <TotalTime>7</TotalTime>
  <ScaleCrop>false</ScaleCrop>
  <LinksUpToDate>false</LinksUpToDate>
  <CharactersWithSpaces>26760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2022-01-04T02:49:00Z</dcterms:created>
  <dc:creator>Administrator</dc:creator>
  <cp:lastModifiedBy>赵莉啊</cp:lastModifiedBy>
  <cp:lastPrinted>2022-01-17T00:47:00Z</cp:lastPrinted>
  <dcterms:modified xsi:type="dcterms:W3CDTF">2022-01-19T03:31:41Z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469D7E858911414EA86564EF48067C2B</vt:lpwstr>
  </property>
  <property fmtid="{D5CDD505-2E9C-101B-9397-08002B2CF9AE}" pid="4" name="KSOSaveFontToCloudKey">
    <vt:lpwstr>275846280_embed</vt:lpwstr>
  </property>
</Properties>
</file>